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themeFill="background1"/>
        <w:spacing w:before="0" w:beforeAutospacing="0" w:after="0" w:afterAutospacing="0" w:line="432" w:lineRule="auto"/>
        <w:ind w:left="0" w:right="0" w:firstLine="723" w:firstLineChars="200"/>
        <w:jc w:val="center"/>
        <w:rPr>
          <w:rFonts w:hint="eastAsia" w:ascii="宋体" w:hAnsi="宋体" w:eastAsia="宋体" w:cs="宋体"/>
          <w:b/>
          <w:bCs/>
          <w:color w:val="5D1A21"/>
          <w:kern w:val="0"/>
          <w:sz w:val="36"/>
          <w:szCs w:val="36"/>
          <w:shd w:val="clear" w:fill="FFFFFF"/>
          <w:lang w:val="en-US" w:eastAsia="zh-CN" w:bidi="ar"/>
        </w:rPr>
      </w:pPr>
      <w:r>
        <w:rPr>
          <w:rFonts w:hint="eastAsia" w:ascii="宋体" w:hAnsi="宋体" w:eastAsia="宋体" w:cs="宋体"/>
          <w:b/>
          <w:bCs/>
          <w:color w:val="5D1A21"/>
          <w:kern w:val="0"/>
          <w:sz w:val="36"/>
          <w:szCs w:val="36"/>
          <w:shd w:val="clear" w:fill="FFFFFF"/>
          <w:lang w:val="en-US" w:eastAsia="zh-CN" w:bidi="ar"/>
        </w:rPr>
        <w:t>资本运营</w:t>
      </w:r>
      <w:r>
        <w:rPr>
          <w:rFonts w:hint="eastAsia" w:ascii="宋体" w:hAnsi="宋体" w:cs="宋体"/>
          <w:b/>
          <w:bCs/>
          <w:color w:val="5D1A21"/>
          <w:kern w:val="0"/>
          <w:sz w:val="36"/>
          <w:szCs w:val="36"/>
          <w:shd w:val="clear" w:fill="FFFFFF"/>
          <w:lang w:val="en-US" w:eastAsia="zh-CN" w:bidi="ar"/>
        </w:rPr>
        <w:t>与投融资决策董事长高级研修</w:t>
      </w:r>
      <w:r>
        <w:rPr>
          <w:rFonts w:hint="eastAsia" w:ascii="宋体" w:hAnsi="宋体" w:eastAsia="宋体" w:cs="宋体"/>
          <w:b/>
          <w:bCs/>
          <w:color w:val="5D1A21"/>
          <w:kern w:val="0"/>
          <w:sz w:val="36"/>
          <w:szCs w:val="36"/>
          <w:shd w:val="clear" w:fill="FFFFFF"/>
          <w:lang w:val="en-US" w:eastAsia="zh-CN" w:bidi="ar"/>
        </w:rPr>
        <w:t>班</w:t>
      </w:r>
    </w:p>
    <w:p>
      <w:pPr>
        <w:keepNext w:val="0"/>
        <w:keepLines w:val="0"/>
        <w:pageBreakBefore w:val="0"/>
        <w:kinsoku/>
        <w:wordWrap/>
        <w:overflowPunct/>
        <w:topLinePunct w:val="0"/>
        <w:autoSpaceDE/>
        <w:autoSpaceDN/>
        <w:bidi w:val="0"/>
        <w:adjustRightInd/>
        <w:snapToGrid/>
        <w:spacing w:line="408" w:lineRule="auto"/>
        <w:ind w:right="0" w:rightChars="0"/>
        <w:textAlignment w:val="auto"/>
        <w:outlineLvl w:val="9"/>
        <w:rPr>
          <w:rFonts w:hint="eastAsia" w:ascii="宋体" w:hAnsi="宋体" w:eastAsia="宋体" w:cs="宋体"/>
          <w:b/>
          <w:bCs/>
          <w:color w:val="663300"/>
          <w:sz w:val="28"/>
          <w:szCs w:val="28"/>
          <w:lang w:eastAsia="zh-CN"/>
        </w:rPr>
      </w:pP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color w:val="5D1A21"/>
          <w:sz w:val="28"/>
          <w:szCs w:val="28"/>
          <w:lang w:eastAsia="zh-CN"/>
        </w:rPr>
      </w:pPr>
      <w:r>
        <w:rPr>
          <w:rFonts w:hint="eastAsia" w:ascii="宋体" w:hAnsi="宋体" w:eastAsia="宋体" w:cs="宋体"/>
          <w:b/>
          <w:bCs/>
          <w:color w:val="5D1A21"/>
          <w:sz w:val="28"/>
          <w:szCs w:val="28"/>
          <w:lang w:eastAsia="zh-CN"/>
        </w:rPr>
        <w:t>【课程背景</w:t>
      </w:r>
      <w:r>
        <w:rPr>
          <w:rFonts w:hint="eastAsia" w:ascii="宋体" w:hAnsi="宋体" w:eastAsia="宋体" w:cs="宋体"/>
          <w:color w:val="5D1A2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210" w:leftChars="10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国际资本市场高速发展，国内资本市场角逐路起，本土企业发展面临空前性抉择，是跟随资本道路，还是封闭性前行？</w:t>
      </w:r>
    </w:p>
    <w:p>
      <w:pPr>
        <w:keepNext w:val="0"/>
        <w:keepLines w:val="0"/>
        <w:pageBreakBefore w:val="0"/>
        <w:widowControl w:val="0"/>
        <w:kinsoku/>
        <w:wordWrap/>
        <w:overflowPunct/>
        <w:topLinePunct w:val="0"/>
        <w:autoSpaceDE/>
        <w:autoSpaceDN/>
        <w:bidi w:val="0"/>
        <w:adjustRightInd/>
        <w:snapToGrid/>
        <w:spacing w:line="360" w:lineRule="auto"/>
        <w:ind w:left="210" w:leftChars="10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的财富不仅来源于传统经营模式的利润累加，更来自产业与资本对接下新模式的利润倍增。传统的增长模式已无法适应瞬息万变的外部形势，疲态尽显，企业必须插上资本的翅膀，才能在激烈的竞争中赢得先机、抢占鳌头，否则只能因后力匮乏而落于竞争的末端。</w:t>
      </w:r>
    </w:p>
    <w:p>
      <w:pPr>
        <w:keepNext w:val="0"/>
        <w:keepLines w:val="0"/>
        <w:pageBreakBefore w:val="0"/>
        <w:widowControl w:val="0"/>
        <w:kinsoku/>
        <w:wordWrap/>
        <w:overflowPunct/>
        <w:topLinePunct w:val="0"/>
        <w:autoSpaceDE/>
        <w:autoSpaceDN/>
        <w:bidi w:val="0"/>
        <w:adjustRightInd/>
        <w:snapToGrid/>
        <w:spacing w:line="360" w:lineRule="auto"/>
        <w:ind w:left="210" w:leftChars="10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2006年，北京大学私募股权投资课程开展至今，其已成为助推中国企业家向投资家转变的核心力量；经历数万名企业家全程验证，100多位专家、学者、教授精英千锤百炼、深度打造，铸就成企业董事长成长必修的经典高端课程。</w:t>
      </w:r>
    </w:p>
    <w:p>
      <w:pPr>
        <w:keepNext w:val="0"/>
        <w:keepLines w:val="0"/>
        <w:pageBreakBefore w:val="0"/>
        <w:widowControl w:val="0"/>
        <w:kinsoku/>
        <w:wordWrap/>
        <w:overflowPunct/>
        <w:topLinePunct w:val="0"/>
        <w:autoSpaceDE/>
        <w:autoSpaceDN/>
        <w:bidi w:val="0"/>
        <w:adjustRightInd/>
        <w:snapToGrid/>
        <w:spacing w:line="360" w:lineRule="auto"/>
        <w:ind w:left="210" w:leftChars="10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2015年由北大教授、优秀企业家、私募资本课程运作负责人等共同发起成立了燕园</w:t>
      </w:r>
      <w:r>
        <w:rPr>
          <w:rFonts w:hint="eastAsia" w:ascii="宋体" w:hAnsi="宋体" w:cs="宋体"/>
          <w:sz w:val="24"/>
          <w:szCs w:val="24"/>
          <w:lang w:val="en-US" w:eastAsia="zh-CN"/>
        </w:rPr>
        <w:t>绽放教育平台</w:t>
      </w:r>
      <w:r>
        <w:rPr>
          <w:rFonts w:hint="eastAsia" w:ascii="宋体" w:hAnsi="宋体" w:eastAsia="宋体" w:cs="宋体"/>
          <w:sz w:val="24"/>
          <w:szCs w:val="24"/>
          <w:lang w:val="en-US" w:eastAsia="zh-CN"/>
        </w:rPr>
        <w:t>，同时整合过往十年北京大学私募股权投资课程之办学经验与资源，研发推出了全新的“资本运营与投融资决策董事长高级研修班”，构建资本“北大导师团”，整合最优资源，携众多业内专家、名师一起，帮助企业探寻“资本杠杆”的奥秘，找到撬动企业快速增长的关键支点。</w:t>
      </w:r>
    </w:p>
    <w:p>
      <w:pPr>
        <w:keepNext w:val="0"/>
        <w:keepLines w:val="0"/>
        <w:pageBreakBefore w:val="0"/>
        <w:widowControl w:val="0"/>
        <w:kinsoku/>
        <w:wordWrap/>
        <w:overflowPunct/>
        <w:topLinePunct w:val="0"/>
        <w:autoSpaceDE/>
        <w:autoSpaceDN/>
        <w:bidi w:val="0"/>
        <w:adjustRightInd/>
        <w:snapToGrid/>
        <w:spacing w:line="360" w:lineRule="auto"/>
        <w:ind w:left="210" w:leftChars="10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自成功主办高端研修班以来，已为上千名企业家学员传道、授业、解惑。</w:t>
      </w:r>
    </w:p>
    <w:p>
      <w:pPr>
        <w:keepNext w:val="0"/>
        <w:keepLines w:val="0"/>
        <w:pageBreakBefore w:val="0"/>
        <w:widowControl w:val="0"/>
        <w:kinsoku/>
        <w:wordWrap/>
        <w:overflowPunct/>
        <w:topLinePunct w:val="0"/>
        <w:autoSpaceDE/>
        <w:autoSpaceDN/>
        <w:bidi w:val="0"/>
        <w:adjustRightInd/>
        <w:snapToGrid/>
        <w:spacing w:line="360" w:lineRule="auto"/>
        <w:ind w:left="210" w:leftChars="10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一路走来，高端培训项目组得到了学员及社会各界的高度认可和大力支持，这份认可和支持鼓励着我们不断创新升级，优中求进，打造最具价值的企业家学习互动平台。</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5D1A21"/>
          <w:sz w:val="28"/>
          <w:szCs w:val="28"/>
          <w:lang w:eastAsia="zh-CN"/>
        </w:rPr>
      </w:pPr>
      <w:r>
        <w:rPr>
          <w:rFonts w:hint="eastAsia" w:ascii="宋体" w:hAnsi="宋体" w:eastAsia="宋体" w:cs="宋体"/>
          <w:b/>
          <w:bCs/>
          <w:color w:val="5D1A21"/>
          <w:sz w:val="28"/>
          <w:szCs w:val="28"/>
          <w:lang w:eastAsia="zh-CN"/>
        </w:rPr>
        <w:t>【课程特色</w:t>
      </w:r>
      <w:r>
        <w:rPr>
          <w:rFonts w:hint="eastAsia" w:ascii="宋体" w:hAnsi="宋体" w:eastAsia="宋体" w:cs="宋体"/>
          <w:color w:val="5D1A21"/>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bCs/>
          <w:i w:val="0"/>
          <w:caps w:val="0"/>
          <w:color w:val="000000" w:themeColor="text1"/>
          <w:spacing w:val="0"/>
          <w:sz w:val="24"/>
          <w:szCs w:val="24"/>
          <w:highlight w:val="none"/>
          <w:shd w:val="clear" w:fill="FFFFFF"/>
          <w14:textFill>
            <w14:solidFill>
              <w14:schemeClr w14:val="tx1"/>
            </w14:solidFill>
          </w14:textFill>
        </w:rPr>
        <w:t>课程全面，用学相长</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课程教授各种基本分析工具，辅以国内外最新案例，进一步帮助学员学以致用，融会贯通。通过具有丰富实战经验讲师的教授，学员能够将最新的理论研究成果，实用知识，真实的实践经验和切实可行的解决方案结合在一起，继而独立、全面的分析和处理复杂的问题</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重点突出，掌握国内外最新知识</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课程不但系统介绍国内外前沿金融理论知识，还重点介绍私募股权投资基金在中国的发展及应用。希望通过本课程的学习，学员能将北大深厚的经济理论及国外先进理论实践基础融入各自日常工作，循序渐进的提高综合管理能力和领导能力，成为中国私募股权投资基金领域的先锋，在不断变化的市场中彰显卓越。</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师资雄厚，领略北大风范</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师资依托于</w:t>
      </w:r>
      <w:r>
        <w:rPr>
          <w:rFonts w:hint="eastAsia" w:ascii="宋体" w:hAnsi="宋体" w:cs="宋体"/>
          <w:b w:val="0"/>
          <w:i w:val="0"/>
          <w:caps w:val="0"/>
          <w:color w:val="000000" w:themeColor="text1"/>
          <w:spacing w:val="0"/>
          <w:sz w:val="24"/>
          <w:szCs w:val="24"/>
          <w:shd w:val="clear" w:fill="FFFFFF"/>
          <w:lang w:eastAsia="zh-CN"/>
          <w14:textFill>
            <w14:solidFill>
              <w14:schemeClr w14:val="tx1"/>
            </w14:solidFill>
          </w14:textFill>
        </w:rPr>
        <w:t>一流</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大学的资深教授，同时邀请到国家金融部门领导及金融界专家讲授，其中包括：参与我国私募股权投资基金相关领域法律制订的一流专家学者、熟悉国家相关法律政策的经济研究人员、拥有全球顶级公司及国内大型企业工作经历的实战型高级管理人员</w:t>
      </w:r>
      <w:r>
        <w:rPr>
          <w:rFonts w:hint="eastAsia" w:ascii="宋体" w:hAnsi="宋体" w:eastAsia="宋体" w:cs="宋体"/>
          <w:b w:val="0"/>
          <w:i w:val="0"/>
          <w:caps w:val="0"/>
          <w:color w:val="333333"/>
          <w:spacing w:val="0"/>
          <w:sz w:val="24"/>
          <w:szCs w:val="24"/>
          <w:shd w:val="clear" w:fill="FFFFFF"/>
        </w:rPr>
        <w:t>。</w:t>
      </w:r>
    </w:p>
    <w:p>
      <w:pPr>
        <w:keepNext w:val="0"/>
        <w:keepLines w:val="0"/>
        <w:pageBreakBefore w:val="0"/>
        <w:numPr>
          <w:ilvl w:val="0"/>
          <w:numId w:val="0"/>
        </w:numPr>
        <w:kinsoku/>
        <w:wordWrap/>
        <w:overflowPunct/>
        <w:topLinePunct w:val="0"/>
        <w:autoSpaceDE/>
        <w:autoSpaceDN/>
        <w:bidi w:val="0"/>
        <w:adjustRightInd/>
        <w:snapToGrid/>
        <w:spacing w:line="480" w:lineRule="auto"/>
        <w:ind w:leftChars="0" w:right="0" w:rightChars="0"/>
        <w:textAlignment w:val="auto"/>
        <w:outlineLvl w:val="9"/>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cs="宋体"/>
          <w:b/>
          <w:bCs w:val="0"/>
          <w:color w:val="000000" w:themeColor="text1"/>
          <w:sz w:val="24"/>
          <w:szCs w:val="24"/>
          <w:lang w:val="en-US" w:eastAsia="zh-CN"/>
          <w14:textFill>
            <w14:solidFill>
              <w14:schemeClr w14:val="tx1"/>
            </w14:solidFill>
          </w14:textFill>
        </w:rPr>
        <w:t>专家指导，</w:t>
      </w:r>
      <w:r>
        <w:rPr>
          <w:rFonts w:hint="eastAsia" w:ascii="宋体" w:hAnsi="宋体" w:eastAsia="宋体" w:cs="宋体"/>
          <w:b/>
          <w:bCs w:val="0"/>
          <w:color w:val="000000" w:themeColor="text1"/>
          <w:sz w:val="24"/>
          <w:szCs w:val="24"/>
          <w14:textFill>
            <w14:solidFill>
              <w14:schemeClr w14:val="tx1"/>
            </w14:solidFill>
          </w14:textFill>
        </w:rPr>
        <w:t>实战融资</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663300"/>
          <w:sz w:val="28"/>
          <w:szCs w:val="28"/>
          <w:lang w:eastAsia="zh-CN"/>
        </w:rPr>
      </w:pP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通过专家进行产业辅导项目，可以经过全国项目路演中心路演，进行债券融资或股权融资，真正实现通过学习发现优质项目，通过产业孵化实现企业改造，通过资本平台实现优质项目与投资基金的亲密结合，真正解决企业融资难，而基金又无法找到好项目的困境。</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增</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值服务</w:t>
      </w:r>
    </w:p>
    <w:p>
      <w:pPr>
        <w:keepNext w:val="0"/>
        <w:keepLines w:val="0"/>
        <w:pageBreakBefore w:val="0"/>
        <w:widowControl w:val="0"/>
        <w:kinsoku/>
        <w:wordWrap/>
        <w:overflowPunct/>
        <w:topLinePunct w:val="0"/>
        <w:autoSpaceDE/>
        <w:autoSpaceDN/>
        <w:bidi w:val="0"/>
        <w:adjustRightInd/>
        <w:snapToGrid/>
        <w:spacing w:line="384" w:lineRule="auto"/>
        <w:ind w:right="0" w:rightChars="0" w:firstLine="480" w:firstLineChars="200"/>
        <w:jc w:val="both"/>
        <w:textAlignment w:val="auto"/>
        <w:outlineLvl w:val="9"/>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丰富的系列活动为学员搭建广阔的交流平台：</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国</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内外游学、主题文化活动、班级活动、主题沙龙、年会、高端论坛等，</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color w:val="5D1A21"/>
          <w:sz w:val="28"/>
          <w:szCs w:val="28"/>
          <w:lang w:eastAsia="zh-CN"/>
        </w:rPr>
      </w:pPr>
      <w:r>
        <w:rPr>
          <w:rFonts w:hint="eastAsia" w:ascii="宋体" w:hAnsi="宋体" w:eastAsia="宋体" w:cs="宋体"/>
          <w:b/>
          <w:bCs/>
          <w:color w:val="5D1A21"/>
          <w:sz w:val="28"/>
          <w:szCs w:val="28"/>
          <w:lang w:eastAsia="zh-CN"/>
        </w:rPr>
        <w:t>【课程目标</w:t>
      </w:r>
      <w:r>
        <w:rPr>
          <w:rFonts w:hint="eastAsia" w:ascii="宋体" w:hAnsi="宋体" w:eastAsia="宋体" w:cs="宋体"/>
          <w:color w:val="5D1A21"/>
          <w:sz w:val="28"/>
          <w:szCs w:val="28"/>
          <w:lang w:eastAsia="zh-CN"/>
        </w:rPr>
        <w:t>】</w:t>
      </w:r>
    </w:p>
    <w:p>
      <w:pPr>
        <w:pStyle w:val="2"/>
        <w:keepNext w:val="0"/>
        <w:keepLines w:val="0"/>
        <w:pageBreakBefore w:val="0"/>
        <w:kinsoku/>
        <w:wordWrap/>
        <w:overflowPunct/>
        <w:topLinePunct w:val="0"/>
        <w:autoSpaceDE/>
        <w:autoSpaceDN/>
        <w:bidi w:val="0"/>
        <w:adjustRightInd/>
        <w:snapToGrid/>
        <w:spacing w:after="0" w:line="312" w:lineRule="auto"/>
        <w:ind w:left="0" w:leftChars="0" w:right="0" w:rightChars="0" w:firstLine="0" w:firstLineChars="0"/>
        <w:textAlignment w:val="auto"/>
        <w:outlineLvl w:val="9"/>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洞悉国内外最新金融资本市场趋势，学以致用，提升企业家综合金融管理能力</w:t>
      </w:r>
      <w:r>
        <w:rPr>
          <w:rFonts w:hint="eastAsia" w:ascii="宋体" w:hAnsi="宋体" w:eastAsia="宋体" w:cs="宋体"/>
          <w:b w:val="0"/>
          <w:bCs/>
          <w:color w:val="000000" w:themeColor="text1"/>
          <w:sz w:val="24"/>
          <w:szCs w:val="24"/>
          <w:lang w:val="en-US"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312" w:lineRule="auto"/>
        <w:ind w:left="0" w:leftChars="0" w:right="0" w:rightChars="0" w:firstLine="0" w:firstLineChars="0"/>
        <w:textAlignment w:val="auto"/>
        <w:outlineLvl w:val="9"/>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全面系统的提高金融及经济学理论素养，融会贯通，精准把握企业投融资时机</w:t>
      </w:r>
      <w:r>
        <w:rPr>
          <w:rFonts w:hint="eastAsia" w:ascii="宋体" w:hAnsi="宋体" w:eastAsia="宋体" w:cs="宋体"/>
          <w:b w:val="0"/>
          <w:bCs/>
          <w:color w:val="000000" w:themeColor="text1"/>
          <w:sz w:val="24"/>
          <w:szCs w:val="24"/>
          <w:lang w:val="en-US"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312" w:lineRule="auto"/>
        <w:ind w:left="0" w:leftChars="0" w:right="0" w:rightChars="0" w:firstLine="0" w:firstLineChars="0"/>
        <w:textAlignment w:val="auto"/>
        <w:outlineLvl w:val="9"/>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独特的“融、投、管、退”课程体系，卓越的投资哲学理念，推动企业高成长</w:t>
      </w:r>
      <w:r>
        <w:rPr>
          <w:rFonts w:hint="eastAsia" w:ascii="宋体" w:hAnsi="宋体" w:eastAsia="宋体" w:cs="宋体"/>
          <w:b w:val="0"/>
          <w:bCs/>
          <w:color w:val="000000" w:themeColor="text1"/>
          <w:sz w:val="24"/>
          <w:szCs w:val="24"/>
          <w:lang w:val="en-US"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312" w:lineRule="auto"/>
        <w:ind w:left="0" w:leftChars="0" w:right="0" w:rightChars="0" w:firstLine="0" w:firstLineChars="0"/>
        <w:textAlignment w:val="auto"/>
        <w:outlineLvl w:val="9"/>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整合投资领域优质金融资源，汇聚各界同学力量，推动产业转型升级</w:t>
      </w:r>
      <w:r>
        <w:rPr>
          <w:rFonts w:hint="eastAsia" w:ascii="宋体" w:hAnsi="宋体" w:eastAsia="宋体" w:cs="宋体"/>
          <w:b w:val="0"/>
          <w:bCs/>
          <w:color w:val="000000" w:themeColor="text1"/>
          <w:sz w:val="24"/>
          <w:szCs w:val="24"/>
          <w:lang w:val="en-US"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after="0" w:line="312" w:lineRule="auto"/>
        <w:ind w:left="0" w:leftChars="0" w:right="0" w:rightChars="0" w:firstLine="0" w:firstLineChars="0"/>
        <w:textAlignment w:val="auto"/>
        <w:outlineLvl w:val="9"/>
        <w:rPr>
          <w:rFonts w:hint="eastAsia" w:ascii="宋体" w:hAnsi="宋体" w:eastAsia="宋体" w:cs="宋体"/>
          <w:b w:val="0"/>
          <w:bCs/>
          <w:color w:val="000000" w:themeColor="text1"/>
          <w:sz w:val="24"/>
          <w:szCs w:val="24"/>
          <w:lang w:val="en-US" w:eastAsia="zh-CN"/>
          <w14:textFill>
            <w14:solidFill>
              <w14:schemeClr w14:val="tx1"/>
            </w14:solidFill>
          </w14:textFill>
        </w:rPr>
      </w:pPr>
    </w:p>
    <w:p>
      <w:pPr>
        <w:rPr>
          <w:rFonts w:hint="eastAsia" w:ascii="宋体" w:hAnsi="宋体" w:eastAsia="宋体" w:cs="宋体"/>
          <w:color w:val="5D1A21"/>
          <w:sz w:val="28"/>
          <w:szCs w:val="28"/>
          <w:lang w:eastAsia="zh-CN"/>
        </w:rPr>
      </w:pPr>
      <w:r>
        <w:rPr>
          <w:rFonts w:hint="eastAsia" w:ascii="宋体" w:hAnsi="宋体" w:eastAsia="宋体" w:cs="宋体"/>
          <w:b/>
          <w:bCs/>
          <w:color w:val="5D1A21"/>
          <w:sz w:val="28"/>
          <w:szCs w:val="28"/>
          <w:lang w:eastAsia="zh-CN"/>
        </w:rPr>
        <w:t>【课程设置</w:t>
      </w:r>
      <w:r>
        <w:rPr>
          <w:rFonts w:hint="eastAsia" w:ascii="宋体" w:hAnsi="宋体" w:eastAsia="宋体" w:cs="宋体"/>
          <w:color w:val="5D1A21"/>
          <w:sz w:val="28"/>
          <w:szCs w:val="28"/>
          <w:lang w:eastAsia="zh-CN"/>
        </w:rPr>
        <w:t>】</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宏观经济政策与金融市场分析</w:t>
            </w:r>
          </w:p>
        </w:tc>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产业经济与产业投资分析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4261" w:type="dxa"/>
            <w:vAlign w:val="center"/>
          </w:tcPr>
          <w:p>
            <w:pPr>
              <w:numPr>
                <w:ilvl w:val="0"/>
                <w:numId w:val="1"/>
              </w:numPr>
              <w:spacing w:line="360" w:lineRule="auto"/>
              <w:jc w:val="both"/>
              <w:rPr>
                <w:rFonts w:hint="eastAsia" w:ascii="宋体" w:hAnsi="宋体" w:eastAsia="宋体" w:cs="宋体"/>
                <w:color w:val="000000" w:themeColor="text1"/>
                <w:sz w:val="21"/>
                <w:szCs w:val="21"/>
                <w:vertAlign w:val="baseline"/>
                <w:lang w:eastAsia="zh-CN"/>
                <w14:textFill>
                  <w14:solidFill>
                    <w14:schemeClr w14:val="tx1"/>
                  </w14:solidFill>
                </w14:textFill>
              </w:rPr>
            </w:pPr>
            <w:r>
              <w:rPr>
                <w:rFonts w:hint="eastAsia" w:ascii="宋体" w:hAnsi="宋体" w:eastAsia="宋体" w:cs="宋体"/>
                <w:color w:val="000000" w:themeColor="text1"/>
                <w:sz w:val="21"/>
                <w:szCs w:val="21"/>
                <w:vertAlign w:val="baseline"/>
                <w:lang w:eastAsia="zh-CN"/>
                <w14:textFill>
                  <w14:solidFill>
                    <w14:schemeClr w14:val="tx1"/>
                  </w14:solidFill>
                </w14:textFill>
              </w:rPr>
              <w:t>经济形势分析与研判</w:t>
            </w:r>
          </w:p>
          <w:p>
            <w:pPr>
              <w:numPr>
                <w:ilvl w:val="0"/>
                <w:numId w:val="1"/>
              </w:numPr>
              <w:spacing w:line="360" w:lineRule="auto"/>
              <w:jc w:val="both"/>
              <w:rPr>
                <w:rFonts w:hint="eastAsia" w:ascii="宋体" w:hAnsi="宋体" w:eastAsia="宋体" w:cs="宋体"/>
                <w:color w:val="000000" w:themeColor="text1"/>
                <w:sz w:val="21"/>
                <w:szCs w:val="21"/>
                <w:vertAlign w:val="baselin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经济政策与结构调整对企业的影响</w:t>
            </w:r>
          </w:p>
          <w:p>
            <w:pPr>
              <w:numPr>
                <w:ilvl w:val="0"/>
                <w:numId w:val="1"/>
              </w:numPr>
              <w:spacing w:line="360" w:lineRule="auto"/>
              <w:jc w:val="both"/>
              <w:rPr>
                <w:rFonts w:hint="eastAsia" w:ascii="宋体" w:hAnsi="宋体" w:eastAsia="宋体" w:cs="宋体"/>
                <w:color w:val="000000" w:themeColor="text1"/>
                <w:sz w:val="21"/>
                <w:szCs w:val="21"/>
                <w:vertAlign w:val="baseline"/>
                <w:lang w:eastAsia="zh-CN"/>
                <w14:textFill>
                  <w14:solidFill>
                    <w14:schemeClr w14:val="tx1"/>
                  </w14:solidFill>
                </w14:textFill>
              </w:rPr>
            </w:pPr>
            <w:r>
              <w:rPr>
                <w:rFonts w:hint="default"/>
              </w:rPr>
              <w:t>金融市场发展</w:t>
            </w:r>
            <w:r>
              <w:rPr>
                <w:rFonts w:hint="eastAsia"/>
                <w:lang w:eastAsia="zh-CN"/>
              </w:rPr>
              <w:t>新</w:t>
            </w:r>
            <w:r>
              <w:rPr>
                <w:rFonts w:hint="default"/>
              </w:rPr>
              <w:t>趋势</w:t>
            </w:r>
          </w:p>
        </w:tc>
        <w:tc>
          <w:tcPr>
            <w:tcW w:w="4261" w:type="dxa"/>
            <w:vAlign w:val="center"/>
          </w:tcPr>
          <w:p>
            <w:pPr>
              <w:numPr>
                <w:ilvl w:val="0"/>
                <w:numId w:val="2"/>
              </w:numPr>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产业发展趋势分析</w:t>
            </w:r>
          </w:p>
          <w:p>
            <w:pPr>
              <w:numPr>
                <w:ilvl w:val="0"/>
                <w:numId w:val="2"/>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新兴产业未来洞见</w:t>
            </w:r>
          </w:p>
          <w:p>
            <w:pPr>
              <w:numPr>
                <w:ilvl w:val="0"/>
                <w:numId w:val="2"/>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产业投融资中的机遇与风险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企业战略与转型期战略选择</w:t>
            </w:r>
          </w:p>
        </w:tc>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企业资产经营与资本经营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261" w:type="dxa"/>
            <w:vAlign w:val="center"/>
          </w:tcPr>
          <w:p>
            <w:pPr>
              <w:numPr>
                <w:ilvl w:val="0"/>
                <w:numId w:val="3"/>
              </w:numPr>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企业战略管理的问题和现状</w:t>
            </w:r>
          </w:p>
          <w:p>
            <w:pPr>
              <w:numPr>
                <w:ilvl w:val="0"/>
                <w:numId w:val="3"/>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转型期企业面临的机遇与挑战</w:t>
            </w:r>
          </w:p>
          <w:p>
            <w:pPr>
              <w:numPr>
                <w:ilvl w:val="0"/>
                <w:numId w:val="3"/>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新竞争环境下企业的战略选择</w:t>
            </w:r>
          </w:p>
          <w:p>
            <w:pPr>
              <w:numPr>
                <w:ilvl w:val="0"/>
                <w:numId w:val="3"/>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企业核心竞争力的构建</w:t>
            </w:r>
          </w:p>
        </w:tc>
        <w:tc>
          <w:tcPr>
            <w:tcW w:w="4261" w:type="dxa"/>
            <w:vAlign w:val="center"/>
          </w:tcPr>
          <w:p>
            <w:pPr>
              <w:numPr>
                <w:ilvl w:val="0"/>
                <w:numId w:val="4"/>
              </w:numPr>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企业永续经营的路径选择</w:t>
            </w:r>
          </w:p>
          <w:p>
            <w:pPr>
              <w:numPr>
                <w:ilvl w:val="0"/>
                <w:numId w:val="4"/>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资产经营与资本经营融合之道</w:t>
            </w:r>
          </w:p>
          <w:p>
            <w:pPr>
              <w:numPr>
                <w:ilvl w:val="0"/>
                <w:numId w:val="4"/>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现代企业资产的证券化</w:t>
            </w:r>
          </w:p>
          <w:p>
            <w:pPr>
              <w:numPr>
                <w:ilvl w:val="0"/>
                <w:numId w:val="4"/>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企业资本运营财富解码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企业商业模式创新与设计</w:t>
            </w:r>
          </w:p>
        </w:tc>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企业股权激励与风险控制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261" w:type="dxa"/>
            <w:vAlign w:val="center"/>
          </w:tcPr>
          <w:p>
            <w:pPr>
              <w:numPr>
                <w:ilvl w:val="0"/>
                <w:numId w:val="5"/>
              </w:numPr>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商业模式创新的关键要素与诊断</w:t>
            </w:r>
          </w:p>
          <w:p>
            <w:pPr>
              <w:numPr>
                <w:ilvl w:val="0"/>
                <w:numId w:val="5"/>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移动互联网时代的商业模式变革</w:t>
            </w:r>
          </w:p>
          <w:p>
            <w:pPr>
              <w:numPr>
                <w:ilvl w:val="0"/>
                <w:numId w:val="5"/>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商业模式的设计与重塑</w:t>
            </w:r>
          </w:p>
          <w:p>
            <w:pPr>
              <w:numPr>
                <w:ilvl w:val="0"/>
                <w:numId w:val="5"/>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商业模式精选案例解析</w:t>
            </w:r>
          </w:p>
        </w:tc>
        <w:tc>
          <w:tcPr>
            <w:tcW w:w="4261" w:type="dxa"/>
            <w:vAlign w:val="center"/>
          </w:tcPr>
          <w:p>
            <w:pPr>
              <w:numPr>
                <w:ilvl w:val="0"/>
                <w:numId w:val="6"/>
              </w:numPr>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公司治理结构与运作机制</w:t>
            </w:r>
          </w:p>
          <w:p>
            <w:pPr>
              <w:numPr>
                <w:ilvl w:val="0"/>
                <w:numId w:val="6"/>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管理层股权激励模式选择</w:t>
            </w:r>
          </w:p>
          <w:p>
            <w:pPr>
              <w:numPr>
                <w:ilvl w:val="0"/>
                <w:numId w:val="6"/>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股权激励过程中的风险控制</w:t>
            </w:r>
          </w:p>
          <w:p>
            <w:pPr>
              <w:numPr>
                <w:ilvl w:val="0"/>
                <w:numId w:val="6"/>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名企业股权激励案例分析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企业融资策略与融资途径</w:t>
            </w:r>
          </w:p>
        </w:tc>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企业投资决策与风险控制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261" w:type="dxa"/>
            <w:vAlign w:val="center"/>
          </w:tcPr>
          <w:p>
            <w:pPr>
              <w:numPr>
                <w:ilvl w:val="0"/>
                <w:numId w:val="7"/>
              </w:numPr>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企业融资现状剖析</w:t>
            </w:r>
          </w:p>
          <w:p>
            <w:pPr>
              <w:numPr>
                <w:ilvl w:val="0"/>
                <w:numId w:val="7"/>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企业融资策略与方法</w:t>
            </w:r>
          </w:p>
          <w:p>
            <w:pPr>
              <w:numPr>
                <w:ilvl w:val="0"/>
                <w:numId w:val="7"/>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企业融资风险规避</w:t>
            </w:r>
          </w:p>
          <w:p>
            <w:pPr>
              <w:numPr>
                <w:ilvl w:val="0"/>
                <w:numId w:val="7"/>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企业融资模式组合运用</w:t>
            </w:r>
          </w:p>
        </w:tc>
        <w:tc>
          <w:tcPr>
            <w:tcW w:w="4261" w:type="dxa"/>
            <w:vAlign w:val="center"/>
          </w:tcPr>
          <w:p>
            <w:pPr>
              <w:numPr>
                <w:ilvl w:val="0"/>
                <w:numId w:val="8"/>
              </w:numPr>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经济增长的困境和泡沫</w:t>
            </w:r>
          </w:p>
          <w:p>
            <w:pPr>
              <w:numPr>
                <w:ilvl w:val="0"/>
                <w:numId w:val="8"/>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经济发展与企业投资策略</w:t>
            </w:r>
          </w:p>
          <w:p>
            <w:pPr>
              <w:numPr>
                <w:ilvl w:val="0"/>
                <w:numId w:val="8"/>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金融创新与投资组合</w:t>
            </w:r>
          </w:p>
          <w:p>
            <w:pPr>
              <w:numPr>
                <w:ilvl w:val="0"/>
                <w:numId w:val="8"/>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财务管理新理念与企业风险控制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资产管理与财富增值</w:t>
            </w:r>
          </w:p>
        </w:tc>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私募股权投融资策略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4261" w:type="dxa"/>
            <w:vAlign w:val="center"/>
          </w:tcPr>
          <w:p>
            <w:pPr>
              <w:numPr>
                <w:ilvl w:val="0"/>
                <w:numId w:val="9"/>
              </w:numPr>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资产管理与中国资本市场经济周期分析</w:t>
            </w:r>
          </w:p>
          <w:p>
            <w:pPr>
              <w:numPr>
                <w:ilvl w:val="0"/>
                <w:numId w:val="9"/>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大资管时代的投融资策略</w:t>
            </w:r>
          </w:p>
          <w:p>
            <w:pPr>
              <w:numPr>
                <w:ilvl w:val="0"/>
                <w:numId w:val="9"/>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财富增值与风险管理</w:t>
            </w:r>
          </w:p>
        </w:tc>
        <w:tc>
          <w:tcPr>
            <w:tcW w:w="4261" w:type="dxa"/>
            <w:vAlign w:val="center"/>
          </w:tcPr>
          <w:p>
            <w:pPr>
              <w:numPr>
                <w:ilvl w:val="0"/>
                <w:numId w:val="10"/>
              </w:numPr>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私募股权基金的设立、募集与运营</w:t>
            </w:r>
          </w:p>
          <w:p>
            <w:pPr>
              <w:numPr>
                <w:ilvl w:val="0"/>
                <w:numId w:val="10"/>
              </w:numPr>
              <w:spacing w:line="360" w:lineRule="auto"/>
              <w:jc w:val="both"/>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私募基金对拟投企业的选择标准与价值评估</w:t>
            </w:r>
          </w:p>
          <w:p>
            <w:pPr>
              <w:numPr>
                <w:ilvl w:val="0"/>
                <w:numId w:val="10"/>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募股权投融资的时机选择与风险防范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企业并购与资产重组</w:t>
            </w:r>
          </w:p>
        </w:tc>
        <w:tc>
          <w:tcPr>
            <w:tcW w:w="4261" w:type="dxa"/>
            <w:shd w:val="clear" w:color="auto" w:fill="ADD78D"/>
            <w:vAlign w:val="center"/>
          </w:tcPr>
          <w:p>
            <w:pPr>
              <w:jc w:val="center"/>
              <w:rPr>
                <w:b/>
                <w:bCs/>
                <w:sz w:val="24"/>
                <w:szCs w:val="24"/>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企业上市准备与操作实务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261" w:type="dxa"/>
            <w:vAlign w:val="center"/>
          </w:tcPr>
          <w:p>
            <w:pPr>
              <w:numPr>
                <w:ilvl w:val="0"/>
                <w:numId w:val="11"/>
              </w:numPr>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中国企业海内外并购的动因及趋势</w:t>
            </w:r>
          </w:p>
          <w:p>
            <w:pPr>
              <w:numPr>
                <w:ilvl w:val="0"/>
                <w:numId w:val="11"/>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并购重组的机会识别及风险防范</w:t>
            </w:r>
          </w:p>
          <w:p>
            <w:pPr>
              <w:numPr>
                <w:ilvl w:val="0"/>
                <w:numId w:val="11"/>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并购重组的基本方法及实施流程</w:t>
            </w:r>
          </w:p>
          <w:p>
            <w:pPr>
              <w:numPr>
                <w:ilvl w:val="0"/>
                <w:numId w:val="11"/>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并购重组后的资源整合与激励机制</w:t>
            </w:r>
          </w:p>
        </w:tc>
        <w:tc>
          <w:tcPr>
            <w:tcW w:w="4261" w:type="dxa"/>
            <w:vAlign w:val="center"/>
          </w:tcPr>
          <w:p>
            <w:pPr>
              <w:numPr>
                <w:ilvl w:val="0"/>
                <w:numId w:val="12"/>
              </w:numPr>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拟上市公司治理结构的完善</w:t>
            </w:r>
          </w:p>
          <w:p>
            <w:pPr>
              <w:numPr>
                <w:ilvl w:val="0"/>
                <w:numId w:val="12"/>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多层次资本市场比较分析</w:t>
            </w:r>
          </w:p>
          <w:p>
            <w:pPr>
              <w:numPr>
                <w:ilvl w:val="0"/>
                <w:numId w:val="12"/>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企业上市流程与中介机构的选择</w:t>
            </w:r>
          </w:p>
          <w:p>
            <w:pPr>
              <w:numPr>
                <w:ilvl w:val="0"/>
                <w:numId w:val="12"/>
              </w:numPr>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企业上市关注的主要问题与业务难点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22" w:type="dxa"/>
            <w:gridSpan w:val="2"/>
            <w:shd w:val="clear" w:color="auto" w:fill="ADD78D"/>
            <w:vAlign w:val="center"/>
          </w:tcPr>
          <w:p>
            <w:pPr>
              <w:numPr>
                <w:ilvl w:val="0"/>
                <w:numId w:val="0"/>
              </w:numPr>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互联网金融与企业发展机遇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522" w:type="dxa"/>
            <w:gridSpan w:val="2"/>
            <w:vAlign w:val="center"/>
          </w:tcPr>
          <w:p>
            <w:pPr>
              <w:numPr>
                <w:ilvl w:val="0"/>
                <w:numId w:val="13"/>
              </w:numPr>
              <w:tabs>
                <w:tab w:val="clear" w:pos="312"/>
              </w:tabs>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互联网金融发展现状及趋势</w:t>
            </w:r>
          </w:p>
          <w:p>
            <w:pPr>
              <w:numPr>
                <w:ilvl w:val="0"/>
                <w:numId w:val="13"/>
              </w:numPr>
              <w:tabs>
                <w:tab w:val="clear" w:pos="312"/>
              </w:tabs>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互联网金融的六大模式及解析</w:t>
            </w:r>
          </w:p>
          <w:p>
            <w:pPr>
              <w:numPr>
                <w:ilvl w:val="0"/>
                <w:numId w:val="13"/>
              </w:numPr>
              <w:tabs>
                <w:tab w:val="clear" w:pos="312"/>
              </w:tabs>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企业如何借力互联网金融</w:t>
            </w:r>
          </w:p>
          <w:p>
            <w:pPr>
              <w:numPr>
                <w:ilvl w:val="0"/>
                <w:numId w:val="13"/>
              </w:numPr>
              <w:tabs>
                <w:tab w:val="clear" w:pos="312"/>
              </w:tabs>
              <w:spacing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互联网金融风险防范与应对</w:t>
            </w:r>
          </w:p>
        </w:tc>
      </w:tr>
    </w:tbl>
    <w:p>
      <w:pPr>
        <w:rPr>
          <w:rFonts w:hint="eastAsia" w:ascii="宋体" w:hAnsi="宋体" w:eastAsia="宋体" w:cs="宋体"/>
          <w:color w:val="663300"/>
          <w:sz w:val="28"/>
          <w:szCs w:val="28"/>
          <w:lang w:eastAsia="zh-CN"/>
        </w:rPr>
      </w:pPr>
    </w:p>
    <w:p>
      <w:pPr>
        <w:rPr>
          <w:rFonts w:hint="eastAsia" w:ascii="宋体" w:hAnsi="宋体" w:eastAsia="宋体" w:cs="宋体"/>
          <w:color w:val="5D1A21"/>
          <w:sz w:val="28"/>
          <w:szCs w:val="28"/>
          <w:lang w:eastAsia="zh-CN"/>
        </w:rPr>
      </w:pPr>
      <w:r>
        <w:rPr>
          <w:rFonts w:hint="eastAsia" w:ascii="宋体" w:hAnsi="宋体" w:eastAsia="宋体" w:cs="宋体"/>
          <w:b/>
          <w:bCs/>
          <w:color w:val="5D1A21"/>
          <w:sz w:val="28"/>
          <w:szCs w:val="28"/>
          <w:lang w:eastAsia="zh-CN"/>
        </w:rPr>
        <w:t>【部分师资</w:t>
      </w:r>
      <w:r>
        <w:rPr>
          <w:rFonts w:hint="eastAsia" w:ascii="宋体" w:hAnsi="宋体" w:eastAsia="宋体" w:cs="宋体"/>
          <w:color w:val="5D1A21"/>
          <w:sz w:val="28"/>
          <w:szCs w:val="28"/>
          <w:lang w:eastAsia="zh-CN"/>
        </w:rPr>
        <w:t>】</w:t>
      </w:r>
    </w:p>
    <w:p>
      <w:pPr>
        <w:keepNext w:val="0"/>
        <w:keepLines w:val="0"/>
        <w:pageBreakBefore w:val="0"/>
        <w:kinsoku/>
        <w:wordWrap/>
        <w:overflowPunct/>
        <w:topLinePunct w:val="0"/>
        <w:autoSpaceDE/>
        <w:autoSpaceDN/>
        <w:bidi w:val="0"/>
        <w:adjustRightInd/>
        <w:snapToGrid/>
        <w:spacing w:line="312" w:lineRule="auto"/>
        <w:ind w:right="0" w:rightChars="0"/>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xml:space="preserve">张 </w:t>
      </w:r>
      <w:r>
        <w:rPr>
          <w:rFonts w:hint="eastAsia" w:ascii="宋体" w:hAnsi="宋体" w:cs="宋体"/>
          <w:b/>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b/>
          <w:color w:val="000000" w:themeColor="text1"/>
          <w:kern w:val="0"/>
          <w:sz w:val="24"/>
          <w:szCs w:val="24"/>
          <w14:textFill>
            <w14:solidFill>
              <w14:schemeClr w14:val="tx1"/>
            </w14:solidFill>
          </w14:textFill>
        </w:rPr>
        <w:t xml:space="preserve">伟 </w:t>
      </w:r>
      <w:r>
        <w:rPr>
          <w:rFonts w:hint="eastAsia" w:ascii="宋体" w:hAnsi="宋体" w:eastAsia="宋体" w:cs="宋体"/>
          <w:color w:val="000000" w:themeColor="text1"/>
          <w:kern w:val="0"/>
          <w:sz w:val="24"/>
          <w:szCs w:val="24"/>
          <w14:textFill>
            <w14:solidFill>
              <w14:schemeClr w14:val="tx1"/>
            </w14:solidFill>
          </w14:textFill>
        </w:rPr>
        <w:t>北京大学投资银行学会会长</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北京市经济法学会金融专业委员会副秘书长</w:t>
      </w:r>
    </w:p>
    <w:p>
      <w:pPr>
        <w:keepNext w:val="0"/>
        <w:keepLines w:val="0"/>
        <w:pageBreakBefore w:val="0"/>
        <w:kinsoku/>
        <w:wordWrap/>
        <w:overflowPunct/>
        <w:topLinePunct w:val="0"/>
        <w:autoSpaceDE/>
        <w:autoSpaceDN/>
        <w:bidi w:val="0"/>
        <w:adjustRightInd/>
        <w:snapToGrid/>
        <w:spacing w:line="312" w:lineRule="auto"/>
        <w:ind w:right="0" w:rightChars="0"/>
        <w:textAlignment w:val="auto"/>
        <w:outlineLvl w:val="9"/>
        <w:rPr>
          <w:rFonts w:hint="eastAsia" w:ascii="宋体" w:hAnsi="宋体" w:eastAsia="宋体" w:cs="宋体"/>
          <w:b/>
          <w:color w:val="000000" w:themeColor="text1"/>
          <w:kern w:val="0"/>
          <w:sz w:val="24"/>
          <w:szCs w:val="24"/>
          <w:lang w:val="en-US" w:eastAsia="zh-CN"/>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xml:space="preserve">黄俊立 </w:t>
      </w:r>
      <w:r>
        <w:rPr>
          <w:rFonts w:hint="eastAsia" w:eastAsia="宋体" w:cs="宋体"/>
          <w:color w:val="000000" w:themeColor="text1"/>
          <w:kern w:val="0"/>
          <w:sz w:val="24"/>
          <w:szCs w:val="24"/>
          <w:lang w:eastAsia="zh-CN"/>
          <w14:textFill>
            <w14:solidFill>
              <w14:schemeClr w14:val="tx1"/>
            </w14:solidFill>
          </w14:textFill>
        </w:rPr>
        <w:t>北京大学马克思学院教授</w:t>
      </w:r>
      <w:r>
        <w:rPr>
          <w:rFonts w:hint="eastAsia"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北京大学中国民营企业研究所执行所长</w:t>
      </w:r>
    </w:p>
    <w:p>
      <w:pPr>
        <w:pStyle w:val="3"/>
        <w:keepNext w:val="0"/>
        <w:keepLines w:val="0"/>
        <w:pageBreakBefore w:val="0"/>
        <w:kinsoku/>
        <w:wordWrap/>
        <w:overflowPunct/>
        <w:topLinePunct w:val="0"/>
        <w:autoSpaceDE/>
        <w:autoSpaceDN/>
        <w:bidi w:val="0"/>
        <w:adjustRightInd/>
        <w:snapToGrid/>
        <w:spacing w:before="0" w:beforeAutospacing="0" w:after="0" w:afterAutospacing="0" w:line="312" w:lineRule="auto"/>
        <w:ind w:right="0" w:rightChars="0"/>
        <w:jc w:val="both"/>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冯  科</w:t>
      </w:r>
      <w:r>
        <w:rPr>
          <w:rFonts w:hint="eastAsia" w:ascii="宋体" w:hAnsi="宋体" w:eastAsia="宋体" w:cs="宋体"/>
          <w:color w:val="000000" w:themeColor="text1"/>
          <w:sz w:val="24"/>
          <w:szCs w:val="24"/>
          <w14:textFill>
            <w14:solidFill>
              <w14:schemeClr w14:val="tx1"/>
            </w14:solidFill>
          </w14:textFill>
        </w:rPr>
        <w:t xml:space="preserve"> 北京大学金融系副教授、博导</w:t>
      </w:r>
      <w:r>
        <w:rPr>
          <w:rFonts w:hint="eastAsia" w:cs="宋体"/>
          <w:color w:val="000000" w:themeColor="text1"/>
          <w:sz w:val="24"/>
          <w:szCs w:val="24"/>
          <w:lang w:eastAsia="zh-CN"/>
          <w14:textFill>
            <w14:solidFill>
              <w14:schemeClr w14:val="tx1"/>
            </w14:solidFill>
          </w14:textFill>
        </w:rPr>
        <w:t>，</w:t>
      </w:r>
      <w:r>
        <w:rPr>
          <w:rFonts w:hint="eastAsia" w:ascii="宋体" w:hAnsi="宋体" w:cs="宋体"/>
          <w:color w:val="000000"/>
          <w:sz w:val="24"/>
          <w:szCs w:val="24"/>
          <w:lang w:eastAsia="zh-CN"/>
        </w:rPr>
        <w:t>北京大学经济所房地产金融中心主任</w:t>
      </w:r>
    </w:p>
    <w:p>
      <w:pPr>
        <w:keepNext w:val="0"/>
        <w:keepLines w:val="0"/>
        <w:pageBreakBefore w:val="0"/>
        <w:kinsoku/>
        <w:wordWrap/>
        <w:overflowPunct/>
        <w:topLinePunct w:val="0"/>
        <w:autoSpaceDE/>
        <w:autoSpaceDN/>
        <w:bidi w:val="0"/>
        <w:adjustRightInd/>
        <w:snapToGrid/>
        <w:spacing w:line="312" w:lineRule="auto"/>
        <w:ind w:left="0" w:leftChars="0" w:right="0" w:rightChars="0" w:firstLine="0" w:firstLineChars="0"/>
        <w:textAlignment w:val="auto"/>
        <w:outlineLvl w:val="9"/>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 xml:space="preserve">萧  琛 </w:t>
      </w:r>
      <w:r>
        <w:rPr>
          <w:rFonts w:hint="eastAsia" w:ascii="宋体" w:hAnsi="宋体" w:cs="宋体"/>
          <w:b w:val="0"/>
          <w:bCs w:val="0"/>
          <w:color w:val="000000" w:themeColor="text1"/>
          <w:sz w:val="24"/>
          <w:szCs w:val="24"/>
          <w:lang w:val="en-US" w:eastAsia="zh-CN"/>
          <w14:textFill>
            <w14:solidFill>
              <w14:schemeClr w14:val="tx1"/>
            </w14:solidFill>
          </w14:textFill>
        </w:rPr>
        <w:t>北京大学经济学院教授、博导，北京大学国际经济系主任</w:t>
      </w:r>
      <w:r>
        <w:rPr>
          <w:rFonts w:hint="eastAsia" w:ascii="宋体" w:hAnsi="宋体" w:cs="宋体"/>
          <w:b/>
          <w:bCs/>
          <w:color w:val="000000" w:themeColor="text1"/>
          <w:sz w:val="24"/>
          <w:szCs w:val="24"/>
          <w:lang w:val="en-US" w:eastAsia="zh-CN"/>
          <w14:textFill>
            <w14:solidFill>
              <w14:schemeClr w14:val="tx1"/>
            </w14:solidFill>
          </w14:textFill>
        </w:rPr>
        <w:t xml:space="preserve">  </w:t>
      </w:r>
    </w:p>
    <w:p>
      <w:pPr>
        <w:pStyle w:val="3"/>
        <w:keepNext w:val="0"/>
        <w:keepLines w:val="0"/>
        <w:pageBreakBefore w:val="0"/>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outlineLvl w:val="9"/>
        <w:rPr>
          <w:rFonts w:hint="eastAsia" w:cs="宋体"/>
          <w:b w:val="0"/>
          <w:bCs/>
          <w:color w:val="000000" w:themeColor="text1"/>
          <w:sz w:val="24"/>
          <w:szCs w:val="24"/>
          <w:lang w:val="en-US" w:eastAsia="zh-CN"/>
          <w14:textFill>
            <w14:solidFill>
              <w14:schemeClr w14:val="tx1"/>
            </w14:solidFill>
          </w14:textFill>
        </w:rPr>
      </w:pPr>
      <w:r>
        <w:rPr>
          <w:rFonts w:hint="eastAsia" w:cs="宋体"/>
          <w:b/>
          <w:color w:val="000000" w:themeColor="text1"/>
          <w:sz w:val="24"/>
          <w:szCs w:val="24"/>
          <w:lang w:val="en-US" w:eastAsia="zh-CN"/>
          <w14:textFill>
            <w14:solidFill>
              <w14:schemeClr w14:val="tx1"/>
            </w14:solidFill>
          </w14:textFill>
        </w:rPr>
        <w:t>周  立</w:t>
      </w:r>
      <w:r>
        <w:rPr>
          <w:rFonts w:hint="eastAsia" w:cs="宋体"/>
          <w:b w:val="0"/>
          <w:bCs/>
          <w:color w:val="000000" w:themeColor="text1"/>
          <w:sz w:val="24"/>
          <w:szCs w:val="24"/>
          <w:lang w:val="en-US" w:eastAsia="zh-CN"/>
          <w14:textFill>
            <w14:solidFill>
              <w14:schemeClr w14:val="tx1"/>
            </w14:solidFill>
          </w14:textFill>
        </w:rPr>
        <w:t xml:space="preserve"> 北京大学特邀教授，清华大学经济管理学院教授</w:t>
      </w:r>
    </w:p>
    <w:p>
      <w:pPr>
        <w:pStyle w:val="3"/>
        <w:keepNext w:val="0"/>
        <w:keepLines w:val="0"/>
        <w:pageBreakBefore w:val="0"/>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outlineLvl w:val="9"/>
        <w:rPr>
          <w:rFonts w:hint="eastAsia" w:cs="宋体"/>
          <w:b w:val="0"/>
          <w:bCs/>
          <w:color w:val="000000" w:themeColor="text1"/>
          <w:sz w:val="24"/>
          <w:szCs w:val="24"/>
          <w:lang w:val="en-US" w:eastAsia="zh-CN"/>
          <w14:textFill>
            <w14:solidFill>
              <w14:schemeClr w14:val="tx1"/>
            </w14:solidFill>
          </w14:textFill>
        </w:rPr>
      </w:pPr>
      <w:r>
        <w:rPr>
          <w:rFonts w:hint="eastAsia" w:cs="宋体"/>
          <w:b/>
          <w:color w:val="000000" w:themeColor="text1"/>
          <w:sz w:val="24"/>
          <w:szCs w:val="24"/>
          <w:lang w:val="en-US" w:eastAsia="zh-CN"/>
          <w14:textFill>
            <w14:solidFill>
              <w14:schemeClr w14:val="tx1"/>
            </w14:solidFill>
          </w14:textFill>
        </w:rPr>
        <w:t xml:space="preserve">刘健钧 </w:t>
      </w:r>
      <w:r>
        <w:rPr>
          <w:rFonts w:hint="eastAsia" w:cs="宋体"/>
          <w:b w:val="0"/>
          <w:bCs/>
          <w:color w:val="000000" w:themeColor="text1"/>
          <w:sz w:val="24"/>
          <w:szCs w:val="24"/>
          <w:lang w:val="en-US" w:eastAsia="zh-CN"/>
          <w14:textFill>
            <w14:solidFill>
              <w14:schemeClr w14:val="tx1"/>
            </w14:solidFill>
          </w14:textFill>
        </w:rPr>
        <w:t>北京大学特约教授，国家发改委财政金融司金融处处长，北大创投研究中心研究员</w:t>
      </w:r>
    </w:p>
    <w:p>
      <w:pPr>
        <w:pStyle w:val="3"/>
        <w:keepNext w:val="0"/>
        <w:keepLines w:val="0"/>
        <w:pageBreakBefore w:val="0"/>
        <w:kinsoku/>
        <w:wordWrap/>
        <w:overflowPunct/>
        <w:topLinePunct w:val="0"/>
        <w:autoSpaceDE/>
        <w:autoSpaceDN/>
        <w:bidi w:val="0"/>
        <w:adjustRightInd/>
        <w:snapToGrid/>
        <w:spacing w:before="0" w:beforeAutospacing="0" w:after="0" w:afterAutospacing="0" w:line="312" w:lineRule="auto"/>
        <w:ind w:right="0" w:rightChars="0"/>
        <w:jc w:val="both"/>
        <w:textAlignment w:val="auto"/>
        <w:outlineLvl w:val="9"/>
        <w:rPr>
          <w:rFonts w:hint="eastAsia" w:cs="宋体"/>
          <w:b w:val="0"/>
          <w:bCs/>
          <w:color w:val="000000" w:themeColor="text1"/>
          <w:sz w:val="24"/>
          <w:szCs w:val="24"/>
          <w:lang w:val="en-US" w:eastAsia="zh-CN"/>
          <w14:textFill>
            <w14:solidFill>
              <w14:schemeClr w14:val="tx1"/>
            </w14:solidFill>
          </w14:textFill>
        </w:rPr>
      </w:pPr>
      <w:r>
        <w:rPr>
          <w:rFonts w:hint="eastAsia" w:cs="宋体"/>
          <w:b/>
          <w:color w:val="000000" w:themeColor="text1"/>
          <w:sz w:val="24"/>
          <w:szCs w:val="24"/>
          <w:lang w:val="en-US" w:eastAsia="zh-CN"/>
          <w14:textFill>
            <w14:solidFill>
              <w14:schemeClr w14:val="tx1"/>
            </w14:solidFill>
          </w14:textFill>
        </w:rPr>
        <w:t xml:space="preserve">黄  嵩 </w:t>
      </w:r>
      <w:r>
        <w:rPr>
          <w:rFonts w:hint="eastAsia" w:cs="宋体"/>
          <w:b w:val="0"/>
          <w:bCs/>
          <w:color w:val="000000" w:themeColor="text1"/>
          <w:sz w:val="24"/>
          <w:szCs w:val="24"/>
          <w:lang w:val="en-US" w:eastAsia="zh-CN"/>
          <w14:textFill>
            <w14:solidFill>
              <w14:schemeClr w14:val="tx1"/>
            </w14:solidFill>
          </w14:textFill>
        </w:rPr>
        <w:t>北京大学软件与微电子学院金融信息工程系副教授</w:t>
      </w:r>
      <w:r>
        <w:rPr>
          <w:rFonts w:hint="eastAsia" w:cs="宋体"/>
          <w:b/>
          <w:color w:val="000000" w:themeColor="text1"/>
          <w:sz w:val="24"/>
          <w:szCs w:val="24"/>
          <w:lang w:val="en-US" w:eastAsia="zh-CN"/>
          <w14:textFill>
            <w14:solidFill>
              <w14:schemeClr w14:val="tx1"/>
            </w14:solidFill>
          </w14:textFill>
        </w:rPr>
        <w:t>，</w:t>
      </w:r>
      <w:r>
        <w:rPr>
          <w:rFonts w:hint="eastAsia" w:cs="宋体"/>
          <w:b w:val="0"/>
          <w:bCs/>
          <w:color w:val="000000" w:themeColor="text1"/>
          <w:sz w:val="24"/>
          <w:szCs w:val="24"/>
          <w:lang w:val="en-US" w:eastAsia="zh-CN"/>
          <w14:textFill>
            <w14:solidFill>
              <w14:schemeClr w14:val="tx1"/>
            </w14:solidFill>
          </w14:textFill>
        </w:rPr>
        <w:t>北京大学金融与产业发展研究中心秘书长</w:t>
      </w:r>
    </w:p>
    <w:p>
      <w:pPr>
        <w:keepNext w:val="0"/>
        <w:keepLines w:val="0"/>
        <w:pageBreakBefore w:val="0"/>
        <w:kinsoku/>
        <w:wordWrap/>
        <w:overflowPunct/>
        <w:topLinePunct w:val="0"/>
        <w:autoSpaceDE/>
        <w:autoSpaceDN/>
        <w:bidi w:val="0"/>
        <w:adjustRightInd/>
        <w:snapToGrid/>
        <w:spacing w:line="312" w:lineRule="auto"/>
        <w:ind w:right="0" w:rightChars="0"/>
        <w:textAlignment w:val="auto"/>
        <w:outlineLvl w:val="9"/>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房西苑</w:t>
      </w:r>
      <w:r>
        <w:rPr>
          <w:rFonts w:hint="eastAsia" w:ascii="宋体" w:hAnsi="宋体" w:eastAsia="宋体" w:cs="宋体"/>
          <w:b w:val="0"/>
          <w:bCs/>
          <w:color w:val="000000" w:themeColor="text1"/>
          <w:kern w:val="0"/>
          <w:sz w:val="24"/>
          <w:szCs w:val="24"/>
          <w14:textFill>
            <w14:solidFill>
              <w14:schemeClr w14:val="tx1"/>
            </w14:solidFill>
          </w14:textFill>
        </w:rPr>
        <w:t xml:space="preserve"> 著名资本运营专家，北京大学国情研究中心研究员</w:t>
      </w:r>
    </w:p>
    <w:p>
      <w:pPr>
        <w:keepNext w:val="0"/>
        <w:keepLines w:val="0"/>
        <w:pageBreakBefore w:val="0"/>
        <w:kinsoku/>
        <w:wordWrap/>
        <w:overflowPunct/>
        <w:topLinePunct w:val="0"/>
        <w:autoSpaceDE/>
        <w:autoSpaceDN/>
        <w:bidi w:val="0"/>
        <w:adjustRightInd/>
        <w:snapToGrid/>
        <w:spacing w:line="312" w:lineRule="auto"/>
        <w:ind w:right="0" w:rightChars="0"/>
        <w:textAlignment w:val="auto"/>
        <w:outlineLvl w:val="9"/>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张曙光</w:t>
      </w:r>
      <w:r>
        <w:rPr>
          <w:rFonts w:hint="eastAsia" w:ascii="宋体" w:hAnsi="宋体" w:eastAsia="宋体" w:cs="宋体"/>
          <w:b w:val="0"/>
          <w:bCs/>
          <w:color w:val="000000" w:themeColor="text1"/>
          <w:kern w:val="0"/>
          <w:sz w:val="24"/>
          <w:szCs w:val="24"/>
          <w14:textFill>
            <w14:solidFill>
              <w14:schemeClr w14:val="tx1"/>
            </w14:solidFill>
          </w14:textFill>
        </w:rPr>
        <w:t xml:space="preserve"> 天则经济研究所理事长兼学术委员会主席，北京大学法律经济研究中心主任</w:t>
      </w:r>
    </w:p>
    <w:p>
      <w:pPr>
        <w:keepNext w:val="0"/>
        <w:keepLines w:val="0"/>
        <w:pageBreakBefore w:val="0"/>
        <w:kinsoku/>
        <w:wordWrap/>
        <w:overflowPunct/>
        <w:topLinePunct w:val="0"/>
        <w:autoSpaceDE/>
        <w:autoSpaceDN/>
        <w:bidi w:val="0"/>
        <w:adjustRightInd/>
        <w:snapToGrid/>
        <w:spacing w:line="312" w:lineRule="auto"/>
        <w:ind w:right="0" w:rightChars="0"/>
        <w:textAlignment w:val="auto"/>
        <w:outlineLvl w:val="9"/>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欧阳良宜</w:t>
      </w:r>
      <w:r>
        <w:rPr>
          <w:rFonts w:hint="eastAsia" w:ascii="宋体" w:hAnsi="宋体" w:eastAsia="宋体" w:cs="宋体"/>
          <w:b w:val="0"/>
          <w:bCs/>
          <w:color w:val="000000" w:themeColor="text1"/>
          <w:kern w:val="0"/>
          <w:sz w:val="24"/>
          <w:szCs w:val="24"/>
          <w14:textFill>
            <w14:solidFill>
              <w14:schemeClr w14:val="tx1"/>
            </w14:solidFill>
          </w14:textFill>
        </w:rPr>
        <w:t xml:space="preserve"> 北京大学经济学院金融系 副教授、特许金融分析师 </w:t>
      </w:r>
    </w:p>
    <w:p>
      <w:pPr>
        <w:keepNext w:val="0"/>
        <w:keepLines w:val="0"/>
        <w:pageBreakBefore w:val="0"/>
        <w:kinsoku/>
        <w:wordWrap/>
        <w:overflowPunct/>
        <w:topLinePunct w:val="0"/>
        <w:autoSpaceDE/>
        <w:autoSpaceDN/>
        <w:bidi w:val="0"/>
        <w:adjustRightInd/>
        <w:snapToGrid/>
        <w:spacing w:line="312" w:lineRule="auto"/>
        <w:ind w:right="0" w:rightChars="0"/>
        <w:textAlignment w:val="auto"/>
        <w:outlineLvl w:val="9"/>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黄  嵩</w:t>
      </w:r>
      <w:r>
        <w:rPr>
          <w:rFonts w:hint="eastAsia" w:ascii="宋体" w:hAnsi="宋体" w:eastAsia="宋体" w:cs="宋体"/>
          <w:b w:val="0"/>
          <w:bCs/>
          <w:color w:val="000000" w:themeColor="text1"/>
          <w:kern w:val="0"/>
          <w:sz w:val="24"/>
          <w:szCs w:val="24"/>
          <w14:textFill>
            <w14:solidFill>
              <w14:schemeClr w14:val="tx1"/>
            </w14:solidFill>
          </w14:textFill>
        </w:rPr>
        <w:t xml:space="preserve"> 北京大学金融与产业发展研究中心 副教授、秘书长</w:t>
      </w:r>
    </w:p>
    <w:p>
      <w:pPr>
        <w:pStyle w:val="3"/>
        <w:keepNext w:val="0"/>
        <w:keepLines w:val="0"/>
        <w:pageBreakBefore w:val="0"/>
        <w:kinsoku/>
        <w:wordWrap/>
        <w:overflowPunct/>
        <w:topLinePunct w:val="0"/>
        <w:autoSpaceDE/>
        <w:autoSpaceDN/>
        <w:bidi w:val="0"/>
        <w:adjustRightInd/>
        <w:snapToGrid/>
        <w:spacing w:before="0" w:beforeAutospacing="0" w:after="0" w:afterAutospacing="0" w:line="312" w:lineRule="auto"/>
        <w:ind w:right="0" w:rightChars="0"/>
        <w:jc w:val="both"/>
        <w:textAlignment w:val="auto"/>
        <w:outlineLvl w:val="9"/>
        <w:rPr>
          <w:rFonts w:hint="default" w:ascii="宋体" w:hAnsi="宋体" w:eastAsia="宋体" w:cs="宋体"/>
          <w:b w:val="0"/>
          <w:bCs/>
          <w:sz w:val="24"/>
          <w:szCs w:val="24"/>
          <w:lang w:val="en-US" w:eastAsia="zh-CN"/>
        </w:rPr>
      </w:pPr>
      <w:r>
        <w:rPr>
          <w:rFonts w:hint="eastAsia" w:cs="宋体"/>
          <w:b/>
          <w:bCs w:val="0"/>
          <w:sz w:val="24"/>
          <w:szCs w:val="24"/>
          <w:lang w:eastAsia="zh-CN"/>
        </w:rPr>
        <w:t>王在全</w:t>
      </w:r>
      <w:r>
        <w:rPr>
          <w:rFonts w:hint="eastAsia" w:cs="宋体"/>
          <w:b w:val="0"/>
          <w:bCs/>
          <w:sz w:val="24"/>
          <w:szCs w:val="24"/>
          <w:lang w:val="en-US" w:eastAsia="zh-CN"/>
        </w:rPr>
        <w:t xml:space="preserve"> 北京大学马克思学院副院长</w:t>
      </w:r>
    </w:p>
    <w:p>
      <w:pPr>
        <w:pStyle w:val="3"/>
        <w:keepNext w:val="0"/>
        <w:keepLines w:val="0"/>
        <w:pageBreakBefore w:val="0"/>
        <w:kinsoku/>
        <w:wordWrap/>
        <w:overflowPunct/>
        <w:topLinePunct w:val="0"/>
        <w:autoSpaceDE/>
        <w:autoSpaceDN/>
        <w:bidi w:val="0"/>
        <w:adjustRightInd/>
        <w:snapToGrid/>
        <w:spacing w:before="0" w:beforeAutospacing="0" w:after="0" w:afterAutospacing="0" w:line="312" w:lineRule="auto"/>
        <w:ind w:right="0" w:rightChars="0"/>
        <w:jc w:val="both"/>
        <w:textAlignment w:val="auto"/>
        <w:outlineLvl w:val="9"/>
        <w:rPr>
          <w:rFonts w:hint="eastAsia" w:cs="宋体"/>
          <w:sz w:val="24"/>
          <w:szCs w:val="24"/>
          <w:lang w:val="en-US" w:eastAsia="zh-CN"/>
        </w:rPr>
      </w:pPr>
      <w:r>
        <w:rPr>
          <w:rFonts w:hint="eastAsia" w:cs="宋体"/>
          <w:b/>
          <w:bCs/>
          <w:sz w:val="24"/>
          <w:szCs w:val="24"/>
          <w:lang w:eastAsia="zh-CN"/>
        </w:rPr>
        <w:t>何小锋</w:t>
      </w:r>
      <w:r>
        <w:rPr>
          <w:rFonts w:hint="eastAsia" w:cs="宋体"/>
          <w:sz w:val="24"/>
          <w:szCs w:val="24"/>
          <w:lang w:val="en-US" w:eastAsia="zh-CN"/>
        </w:rPr>
        <w:t xml:space="preserve"> 北京大学经济学院金融学系教授，北京大学首都发展研究院副院长</w:t>
      </w:r>
    </w:p>
    <w:p>
      <w:pPr>
        <w:pStyle w:val="3"/>
        <w:keepNext w:val="0"/>
        <w:keepLines w:val="0"/>
        <w:pageBreakBefore w:val="0"/>
        <w:kinsoku/>
        <w:wordWrap/>
        <w:overflowPunct/>
        <w:topLinePunct w:val="0"/>
        <w:autoSpaceDE/>
        <w:autoSpaceDN/>
        <w:bidi w:val="0"/>
        <w:adjustRightInd/>
        <w:snapToGrid/>
        <w:spacing w:before="0" w:beforeAutospacing="0" w:after="0" w:afterAutospacing="0" w:line="312" w:lineRule="auto"/>
        <w:ind w:right="0" w:rightChars="0"/>
        <w:jc w:val="both"/>
        <w:textAlignment w:val="auto"/>
        <w:outlineLvl w:val="9"/>
        <w:rPr>
          <w:rFonts w:hint="default" w:cs="宋体"/>
          <w:b/>
          <w:bCs/>
          <w:sz w:val="24"/>
          <w:szCs w:val="24"/>
          <w:lang w:val="en-US" w:eastAsia="zh-CN"/>
        </w:rPr>
      </w:pPr>
      <w:r>
        <w:rPr>
          <w:rFonts w:hint="eastAsia" w:cs="宋体"/>
          <w:b/>
          <w:bCs/>
          <w:sz w:val="24"/>
          <w:szCs w:val="24"/>
          <w:lang w:val="en-US" w:eastAsia="zh-CN"/>
        </w:rPr>
        <w:t xml:space="preserve">刘  东 </w:t>
      </w:r>
      <w:r>
        <w:rPr>
          <w:rFonts w:hint="eastAsia" w:cs="宋体"/>
          <w:b w:val="0"/>
          <w:bCs w:val="0"/>
          <w:sz w:val="24"/>
          <w:szCs w:val="24"/>
          <w:lang w:val="en-US" w:eastAsia="zh-CN"/>
        </w:rPr>
        <w:t>亚洲投资者学会秘书长</w:t>
      </w:r>
    </w:p>
    <w:p>
      <w:pPr>
        <w:rPr>
          <w:rFonts w:hint="eastAsia" w:ascii="宋体" w:hAnsi="宋体" w:eastAsia="宋体" w:cs="宋体"/>
          <w:b/>
          <w:bCs/>
          <w:color w:val="663300"/>
          <w:sz w:val="28"/>
          <w:szCs w:val="28"/>
          <w:lang w:eastAsia="zh-CN"/>
        </w:rPr>
      </w:pPr>
    </w:p>
    <w:p>
      <w:pPr>
        <w:rPr>
          <w:rFonts w:hint="eastAsia" w:ascii="宋体" w:hAnsi="宋体" w:eastAsia="宋体" w:cs="宋体"/>
          <w:color w:val="5D1A21"/>
          <w:sz w:val="28"/>
          <w:szCs w:val="28"/>
          <w:lang w:eastAsia="zh-CN"/>
        </w:rPr>
      </w:pPr>
      <w:r>
        <w:rPr>
          <w:rFonts w:hint="eastAsia" w:ascii="宋体" w:hAnsi="宋体" w:eastAsia="宋体" w:cs="宋体"/>
          <w:b/>
          <w:bCs/>
          <w:color w:val="5D1A21"/>
          <w:sz w:val="28"/>
          <w:szCs w:val="28"/>
          <w:lang w:eastAsia="zh-CN"/>
        </w:rPr>
        <w:t>【</w:t>
      </w:r>
      <w:r>
        <w:rPr>
          <w:rFonts w:hint="eastAsia" w:ascii="宋体" w:hAnsi="宋体" w:cs="宋体"/>
          <w:b/>
          <w:bCs/>
          <w:color w:val="5D1A21"/>
          <w:sz w:val="28"/>
          <w:szCs w:val="28"/>
          <w:lang w:eastAsia="zh-CN"/>
        </w:rPr>
        <w:t>学习对象</w:t>
      </w:r>
      <w:r>
        <w:rPr>
          <w:rFonts w:hint="eastAsia" w:ascii="宋体" w:hAnsi="宋体" w:eastAsia="宋体" w:cs="宋体"/>
          <w:color w:val="5D1A21"/>
          <w:sz w:val="28"/>
          <w:szCs w:val="28"/>
          <w:lang w:eastAsia="zh-CN"/>
        </w:rPr>
        <w:t>】</w:t>
      </w:r>
    </w:p>
    <w:p>
      <w:pPr>
        <w:keepNext w:val="0"/>
        <w:keepLines w:val="0"/>
        <w:pageBreakBefore w:val="0"/>
        <w:widowControl w:val="0"/>
        <w:numPr>
          <w:ilvl w:val="0"/>
          <w:numId w:val="14"/>
        </w:numPr>
        <w:kinsoku/>
        <w:wordWrap/>
        <w:overflowPunct/>
        <w:topLinePunct w:val="0"/>
        <w:autoSpaceDE/>
        <w:autoSpaceDN/>
        <w:bidi w:val="0"/>
        <w:adjustRightInd/>
        <w:snapToGrid/>
        <w:spacing w:line="312" w:lineRule="auto"/>
        <w:ind w:left="420" w:leftChars="0" w:right="0" w:rightChars="0" w:hanging="42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致力于产业投资的实业企业家</w:t>
      </w:r>
    </w:p>
    <w:p>
      <w:pPr>
        <w:keepNext w:val="0"/>
        <w:keepLines w:val="0"/>
        <w:pageBreakBefore w:val="0"/>
        <w:widowControl w:val="0"/>
        <w:numPr>
          <w:ilvl w:val="0"/>
          <w:numId w:val="14"/>
        </w:numPr>
        <w:kinsoku/>
        <w:wordWrap/>
        <w:overflowPunct/>
        <w:topLinePunct w:val="0"/>
        <w:autoSpaceDE/>
        <w:autoSpaceDN/>
        <w:bidi w:val="0"/>
        <w:adjustRightInd/>
        <w:snapToGrid/>
        <w:spacing w:line="312" w:lineRule="auto"/>
        <w:ind w:left="420" w:leftChars="0" w:right="0" w:rightChars="0" w:hanging="42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拟融资或拟上市企业董事长、总经理、企业投融资项目负责人</w:t>
      </w:r>
    </w:p>
    <w:p>
      <w:pPr>
        <w:keepNext w:val="0"/>
        <w:keepLines w:val="0"/>
        <w:pageBreakBefore w:val="0"/>
        <w:widowControl w:val="0"/>
        <w:numPr>
          <w:ilvl w:val="0"/>
          <w:numId w:val="14"/>
        </w:numPr>
        <w:kinsoku/>
        <w:wordWrap/>
        <w:overflowPunct/>
        <w:topLinePunct w:val="0"/>
        <w:autoSpaceDE/>
        <w:autoSpaceDN/>
        <w:bidi w:val="0"/>
        <w:adjustRightInd/>
        <w:snapToGrid/>
        <w:spacing w:line="312" w:lineRule="auto"/>
        <w:ind w:left="420" w:leftChars="0" w:right="0" w:rightChars="0" w:hanging="42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私募股权投资基金公司的项目负责人</w:t>
      </w:r>
    </w:p>
    <w:p>
      <w:pPr>
        <w:keepNext w:val="0"/>
        <w:keepLines w:val="0"/>
        <w:pageBreakBefore w:val="0"/>
        <w:widowControl w:val="0"/>
        <w:numPr>
          <w:ilvl w:val="0"/>
          <w:numId w:val="14"/>
        </w:numPr>
        <w:kinsoku/>
        <w:wordWrap/>
        <w:overflowPunct/>
        <w:topLinePunct w:val="0"/>
        <w:autoSpaceDE/>
        <w:autoSpaceDN/>
        <w:bidi w:val="0"/>
        <w:adjustRightInd/>
        <w:snapToGrid/>
        <w:spacing w:line="312" w:lineRule="auto"/>
        <w:ind w:left="420" w:leftChars="0" w:right="0" w:rightChars="0" w:hanging="42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金融机构、金融服务机构负责人</w:t>
      </w:r>
    </w:p>
    <w:p>
      <w:pPr>
        <w:keepNext w:val="0"/>
        <w:keepLines w:val="0"/>
        <w:pageBreakBefore w:val="0"/>
        <w:widowControl w:val="0"/>
        <w:numPr>
          <w:ilvl w:val="0"/>
          <w:numId w:val="14"/>
        </w:numPr>
        <w:kinsoku/>
        <w:wordWrap/>
        <w:overflowPunct/>
        <w:topLinePunct w:val="0"/>
        <w:autoSpaceDE/>
        <w:autoSpaceDN/>
        <w:bidi w:val="0"/>
        <w:adjustRightInd/>
        <w:snapToGrid/>
        <w:spacing w:line="312" w:lineRule="auto"/>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不招收党政机关、国有企业、事业单位人员参加或旁听</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snapToGrid/>
        <w:spacing w:line="312" w:lineRule="auto"/>
        <w:ind w:right="0" w:rightChars="0"/>
        <w:textAlignment w:val="auto"/>
        <w:rPr>
          <w:rFonts w:hint="eastAsia" w:ascii="宋体" w:hAnsi="宋体" w:eastAsia="宋体" w:cs="宋体"/>
          <w:color w:val="5D1A21"/>
          <w:sz w:val="28"/>
          <w:szCs w:val="28"/>
          <w:lang w:eastAsia="zh-CN"/>
        </w:rPr>
      </w:pPr>
      <w:r>
        <w:rPr>
          <w:rFonts w:hint="eastAsia" w:ascii="宋体" w:hAnsi="宋体" w:eastAsia="宋体" w:cs="宋体"/>
          <w:b/>
          <w:bCs/>
          <w:color w:val="5D1A21"/>
          <w:sz w:val="28"/>
          <w:szCs w:val="28"/>
          <w:lang w:eastAsia="zh-CN"/>
        </w:rPr>
        <w:t>【</w:t>
      </w:r>
      <w:r>
        <w:rPr>
          <w:rFonts w:hint="eastAsia" w:ascii="宋体" w:hAnsi="宋体" w:cs="宋体"/>
          <w:b/>
          <w:bCs/>
          <w:color w:val="5D1A21"/>
          <w:sz w:val="28"/>
          <w:szCs w:val="28"/>
          <w:lang w:eastAsia="zh-CN"/>
        </w:rPr>
        <w:t>学制学费</w:t>
      </w:r>
      <w:r>
        <w:rPr>
          <w:rFonts w:hint="eastAsia" w:ascii="宋体" w:hAnsi="宋体" w:eastAsia="宋体" w:cs="宋体"/>
          <w:color w:val="5D1A21"/>
          <w:sz w:val="28"/>
          <w:szCs w:val="28"/>
          <w:lang w:eastAsia="zh-CN"/>
        </w:rPr>
        <w:t>】</w:t>
      </w:r>
    </w:p>
    <w:p>
      <w:pPr>
        <w:keepNext w:val="0"/>
        <w:keepLines w:val="0"/>
        <w:pageBreakBefore w:val="0"/>
        <w:kinsoku/>
        <w:wordWrap/>
        <w:overflowPunct/>
        <w:topLinePunct w:val="0"/>
        <w:autoSpaceDE/>
        <w:autoSpaceDN/>
        <w:bidi w:val="0"/>
        <w:adjustRightInd/>
        <w:snapToGrid/>
        <w:spacing w:line="312" w:lineRule="auto"/>
        <w:ind w:right="0" w:right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学习时间：</w:t>
      </w:r>
      <w:r>
        <w:rPr>
          <w:rFonts w:hint="eastAsia" w:ascii="宋体" w:hAnsi="宋体" w:eastAsia="宋体" w:cs="宋体"/>
          <w:color w:val="000000" w:themeColor="text1"/>
          <w:sz w:val="24"/>
          <w:szCs w:val="24"/>
          <w:lang w:eastAsia="zh-CN"/>
          <w14:textFill>
            <w14:solidFill>
              <w14:schemeClr w14:val="tx1"/>
            </w14:solidFill>
          </w14:textFill>
        </w:rPr>
        <w:t>学制一年，每个月授课</w:t>
      </w:r>
      <w:r>
        <w:rPr>
          <w:rFonts w:hint="eastAsia" w:ascii="宋体" w:hAnsi="宋体" w:eastAsia="宋体" w:cs="宋体"/>
          <w:color w:val="000000" w:themeColor="text1"/>
          <w:sz w:val="24"/>
          <w:szCs w:val="24"/>
          <w:lang w:val="en-US" w:eastAsia="zh-CN"/>
          <w14:textFill>
            <w14:solidFill>
              <w14:schemeClr w14:val="tx1"/>
            </w14:solidFill>
          </w14:textFill>
        </w:rPr>
        <w:t>2天（周六日）</w:t>
      </w:r>
    </w:p>
    <w:p>
      <w:pPr>
        <w:keepNext w:val="0"/>
        <w:keepLines w:val="0"/>
        <w:pageBreakBefore w:val="0"/>
        <w:kinsoku/>
        <w:wordWrap/>
        <w:overflowPunct/>
        <w:topLinePunct w:val="0"/>
        <w:autoSpaceDE/>
        <w:autoSpaceDN/>
        <w:bidi w:val="0"/>
        <w:adjustRightInd/>
        <w:snapToGrid/>
        <w:spacing w:line="312" w:lineRule="auto"/>
        <w:ind w:right="0" w:right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课程费用：</w:t>
      </w:r>
      <w:r>
        <w:rPr>
          <w:rFonts w:hint="eastAsia" w:ascii="宋体" w:hAnsi="宋体" w:cs="宋体"/>
          <w:color w:val="000000" w:themeColor="text1"/>
          <w:kern w:val="0"/>
          <w:sz w:val="24"/>
          <w:szCs w:val="24"/>
          <w:lang w:val="en-US" w:eastAsia="zh-CN"/>
          <w14:textFill>
            <w14:solidFill>
              <w14:schemeClr w14:val="tx1"/>
            </w14:solidFill>
          </w14:textFill>
        </w:rPr>
        <w:t>128000</w:t>
      </w:r>
      <w:r>
        <w:rPr>
          <w:rFonts w:hint="eastAsia" w:ascii="宋体" w:hAnsi="宋体" w:eastAsia="宋体" w:cs="宋体"/>
          <w:color w:val="000000" w:themeColor="text1"/>
          <w:kern w:val="0"/>
          <w:sz w:val="24"/>
          <w:szCs w:val="24"/>
          <w14:textFill>
            <w14:solidFill>
              <w14:schemeClr w14:val="tx1"/>
            </w14:solidFill>
          </w14:textFill>
        </w:rPr>
        <w:t>元/人（</w:t>
      </w:r>
      <w:r>
        <w:rPr>
          <w:rFonts w:hint="eastAsia" w:ascii="宋体" w:hAnsi="宋体" w:cs="宋体"/>
          <w:color w:val="000000" w:themeColor="text1"/>
          <w:kern w:val="0"/>
          <w:sz w:val="24"/>
          <w:szCs w:val="24"/>
          <w:lang w:eastAsia="zh-CN"/>
          <w14:textFill>
            <w14:solidFill>
              <w14:schemeClr w14:val="tx1"/>
            </w14:solidFill>
          </w14:textFill>
        </w:rPr>
        <w:t>本期校友特惠</w:t>
      </w:r>
      <w:r>
        <w:rPr>
          <w:rFonts w:hint="eastAsia" w:ascii="宋体" w:hAnsi="宋体" w:cs="宋体"/>
          <w:color w:val="000000" w:themeColor="text1"/>
          <w:kern w:val="0"/>
          <w:sz w:val="24"/>
          <w:szCs w:val="24"/>
          <w:lang w:val="en-US" w:eastAsia="zh-CN"/>
          <w14:textFill>
            <w14:solidFill>
              <w14:schemeClr w14:val="tx1"/>
            </w14:solidFill>
          </w14:textFill>
        </w:rPr>
        <w:t>68000元/人</w:t>
      </w:r>
      <w:r>
        <w:rPr>
          <w:rFonts w:hint="eastAsia" w:ascii="宋体" w:hAnsi="宋体" w:eastAsia="宋体" w:cs="宋体"/>
          <w:color w:val="000000" w:themeColor="text1"/>
          <w:kern w:val="0"/>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12" w:lineRule="auto"/>
        <w:ind w:right="0" w:rightChars="0"/>
        <w:textAlignment w:val="auto"/>
        <w:rPr>
          <w:rFonts w:hint="eastAsia" w:ascii="宋体" w:hAnsi="宋体" w:eastAsia="宋体" w:cs="宋体"/>
          <w:color w:val="5D1A21"/>
          <w:sz w:val="28"/>
          <w:szCs w:val="28"/>
          <w:lang w:eastAsia="zh-CN"/>
        </w:rPr>
      </w:pPr>
      <w:r>
        <w:rPr>
          <w:rFonts w:hint="eastAsia" w:ascii="宋体" w:hAnsi="宋体" w:eastAsia="宋体" w:cs="宋体"/>
          <w:b/>
          <w:bCs/>
          <w:color w:val="5D1A21"/>
          <w:sz w:val="28"/>
          <w:szCs w:val="28"/>
          <w:lang w:eastAsia="zh-CN"/>
        </w:rPr>
        <w:t>【</w:t>
      </w:r>
      <w:r>
        <w:rPr>
          <w:rFonts w:hint="eastAsia" w:ascii="宋体" w:hAnsi="宋体" w:cs="宋体"/>
          <w:b/>
          <w:bCs/>
          <w:color w:val="5D1A21"/>
          <w:sz w:val="28"/>
          <w:szCs w:val="28"/>
          <w:lang w:eastAsia="zh-CN"/>
        </w:rPr>
        <w:t>教学管理</w:t>
      </w:r>
      <w:r>
        <w:rPr>
          <w:rFonts w:hint="eastAsia" w:ascii="宋体" w:hAnsi="宋体" w:eastAsia="宋体" w:cs="宋体"/>
          <w:color w:val="5D1A21"/>
          <w:sz w:val="28"/>
          <w:szCs w:val="28"/>
          <w:lang w:eastAsia="zh-CN"/>
        </w:rPr>
        <w:t>】</w:t>
      </w:r>
    </w:p>
    <w:p>
      <w:pPr>
        <w:keepNext w:val="0"/>
        <w:keepLines w:val="0"/>
        <w:pageBreakBefore w:val="0"/>
        <w:widowControl/>
        <w:numPr>
          <w:ilvl w:val="0"/>
          <w:numId w:val="15"/>
        </w:numPr>
        <w:shd w:val="clear" w:color="auto" w:fill="FFFFFF"/>
        <w:kinsoku/>
        <w:wordWrap/>
        <w:overflowPunct/>
        <w:topLinePunct w:val="0"/>
        <w:autoSpaceDE/>
        <w:autoSpaceDN/>
        <w:bidi w:val="0"/>
        <w:adjustRightInd/>
        <w:snapToGrid/>
        <w:spacing w:line="312" w:lineRule="auto"/>
        <w:ind w:left="420" w:leftChars="0" w:right="0" w:rightChars="0" w:hanging="420" w:firstLineChars="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研修班设班主任一名，负责相关的教学管理工作；由班主任协助组建班委会，选举班长等班委会人员，协助教学管理</w:t>
      </w:r>
      <w:r>
        <w:rPr>
          <w:rFonts w:hint="eastAsia" w:ascii="宋体" w:hAnsi="宋体" w:cs="宋体"/>
          <w:color w:val="000000" w:themeColor="text1"/>
          <w:sz w:val="24"/>
          <w:szCs w:val="24"/>
          <w:lang w:eastAsia="zh-CN"/>
          <w14:textFill>
            <w14:solidFill>
              <w14:schemeClr w14:val="tx1"/>
            </w14:solidFill>
          </w14:textFill>
        </w:rPr>
        <w:t>。</w:t>
      </w:r>
    </w:p>
    <w:p>
      <w:pPr>
        <w:keepNext w:val="0"/>
        <w:keepLines w:val="0"/>
        <w:pageBreakBefore w:val="0"/>
        <w:widowControl/>
        <w:numPr>
          <w:ilvl w:val="0"/>
          <w:numId w:val="15"/>
        </w:numPr>
        <w:shd w:val="clear" w:color="auto" w:fill="FFFFFF"/>
        <w:kinsoku/>
        <w:wordWrap/>
        <w:overflowPunct/>
        <w:topLinePunct w:val="0"/>
        <w:autoSpaceDE/>
        <w:autoSpaceDN/>
        <w:bidi w:val="0"/>
        <w:adjustRightInd/>
        <w:snapToGrid/>
        <w:spacing w:line="312" w:lineRule="auto"/>
        <w:ind w:left="420" w:leftChars="0" w:right="0" w:rightChars="0" w:hanging="420" w:firstLineChars="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班委会同学联谊、互访企业、成立班级企业等活动；</w:t>
      </w:r>
      <w:r>
        <w:rPr>
          <w:rFonts w:hint="eastAsia" w:ascii="宋体" w:hAnsi="宋体" w:eastAsia="宋体" w:cs="宋体"/>
          <w:color w:val="000000" w:themeColor="text1"/>
          <w:sz w:val="24"/>
          <w:szCs w:val="24"/>
          <w14:textFill>
            <w14:solidFill>
              <w14:schemeClr w14:val="tx1"/>
            </w14:solidFill>
          </w14:textFill>
        </w:rPr>
        <w:t>评选优秀学员，颁发优秀学员荣誉证书</w:t>
      </w:r>
      <w:r>
        <w:rPr>
          <w:rFonts w:hint="eastAsia" w:ascii="微软雅黑" w:hAnsi="微软雅黑" w:eastAsia="微软雅黑"/>
          <w:color w:val="000000" w:themeColor="text1"/>
          <w:sz w:val="24"/>
          <w:szCs w:val="24"/>
          <w14:textFill>
            <w14:solidFill>
              <w14:schemeClr w14:val="tx1"/>
            </w14:solidFill>
          </w14:textFill>
        </w:rPr>
        <w:t>；</w:t>
      </w:r>
      <w:r>
        <w:rPr>
          <w:rFonts w:hint="eastAsia" w:ascii="微软雅黑" w:hAnsi="微软雅黑" w:eastAsia="微软雅黑"/>
          <w:color w:val="000000" w:themeColor="text1"/>
          <w:sz w:val="24"/>
          <w:szCs w:val="24"/>
          <w14:textFill>
            <w14:solidFill>
              <w14:schemeClr w14:val="tx1"/>
            </w14:solidFill>
          </w14:textFill>
        </w:rPr>
        <w:br w:type="textWrapping"/>
      </w:r>
    </w:p>
    <w:p>
      <w:pPr>
        <w:rPr>
          <w:rFonts w:hint="eastAsia" w:ascii="华文楷体" w:hAnsi="华文楷体" w:eastAsia="华文楷体" w:cs="宋体"/>
          <w:b/>
          <w:bCs/>
          <w:color w:val="4D1B24"/>
          <w:kern w:val="0"/>
          <w:sz w:val="44"/>
          <w:szCs w:val="44"/>
          <w:lang w:eastAsia="zh-CN"/>
        </w:rPr>
      </w:pPr>
      <w:r>
        <w:rPr>
          <w:rFonts w:hint="eastAsia" w:ascii="华文楷体" w:hAnsi="华文楷体" w:eastAsia="华文楷体" w:cs="宋体"/>
          <w:b/>
          <w:bCs/>
          <w:color w:val="4D1B24"/>
          <w:kern w:val="0"/>
          <w:sz w:val="44"/>
          <w:szCs w:val="44"/>
          <w:lang w:eastAsia="zh-CN"/>
        </w:rPr>
        <w:br w:type="page"/>
      </w:r>
    </w:p>
    <w:p>
      <w:pPr>
        <w:widowControl/>
        <w:shd w:val="clear" w:color="auto" w:fill="FFFFFF"/>
        <w:spacing w:line="560" w:lineRule="exact"/>
        <w:jc w:val="center"/>
        <w:rPr>
          <w:rFonts w:ascii="微软雅黑" w:hAnsi="微软雅黑" w:eastAsia="微软雅黑" w:cs="宋体"/>
          <w:color w:val="4D1B24"/>
          <w:kern w:val="0"/>
          <w:sz w:val="44"/>
          <w:szCs w:val="44"/>
        </w:rPr>
      </w:pPr>
      <w:r>
        <w:rPr>
          <w:rFonts w:hint="eastAsia" w:ascii="华文楷体" w:hAnsi="华文楷体" w:eastAsia="华文楷体" w:cs="宋体"/>
          <w:b/>
          <w:bCs/>
          <w:color w:val="4D1B24"/>
          <w:kern w:val="0"/>
          <w:sz w:val="44"/>
          <w:szCs w:val="44"/>
          <w:lang w:eastAsia="zh-CN"/>
        </w:rPr>
        <w:t>资本运营与投融资高</w:t>
      </w:r>
      <w:r>
        <w:rPr>
          <w:rFonts w:hint="eastAsia" w:ascii="华文楷体" w:hAnsi="华文楷体" w:eastAsia="华文楷体" w:cs="宋体"/>
          <w:b/>
          <w:bCs/>
          <w:color w:val="4D1B24"/>
          <w:kern w:val="0"/>
          <w:sz w:val="44"/>
          <w:szCs w:val="44"/>
        </w:rPr>
        <w:t>级研修班</w:t>
      </w:r>
    </w:p>
    <w:p>
      <w:pPr>
        <w:widowControl/>
        <w:spacing w:line="560" w:lineRule="exact"/>
        <w:jc w:val="center"/>
        <w:rPr>
          <w:rFonts w:hint="eastAsia" w:eastAsia="黑体"/>
          <w:bCs/>
          <w:color w:val="4D1B24"/>
          <w:spacing w:val="20"/>
          <w:sz w:val="36"/>
          <w:szCs w:val="36"/>
        </w:rPr>
      </w:pPr>
      <w:r>
        <w:rPr>
          <w:rFonts w:hint="eastAsia" w:eastAsia="黑体"/>
          <w:bCs/>
          <w:color w:val="4D1B24"/>
          <w:spacing w:val="20"/>
          <w:sz w:val="36"/>
          <w:szCs w:val="36"/>
        </w:rPr>
        <w:t>报名申请表</w:t>
      </w:r>
    </w:p>
    <w:tbl>
      <w:tblPr>
        <w:tblStyle w:val="4"/>
        <w:tblW w:w="9968" w:type="dxa"/>
        <w:jc w:val="center"/>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Layout w:type="fixed"/>
        <w:tblCellMar>
          <w:top w:w="0" w:type="dxa"/>
          <w:left w:w="108" w:type="dxa"/>
          <w:bottom w:w="0" w:type="dxa"/>
          <w:right w:w="108" w:type="dxa"/>
        </w:tblCellMar>
      </w:tblPr>
      <w:tblGrid>
        <w:gridCol w:w="1526"/>
        <w:gridCol w:w="28"/>
        <w:gridCol w:w="3431"/>
        <w:gridCol w:w="281"/>
        <w:gridCol w:w="1493"/>
        <w:gridCol w:w="1248"/>
        <w:gridCol w:w="791"/>
        <w:gridCol w:w="1170"/>
      </w:tblGrid>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9968" w:type="dxa"/>
            <w:gridSpan w:val="8"/>
            <w:shd w:val="pct5" w:color="auto" w:fill="auto"/>
            <w:vAlign w:val="center"/>
          </w:tcPr>
          <w:p>
            <w:pPr>
              <w:widowControl/>
              <w:spacing w:line="270" w:lineRule="atLeast"/>
              <w:rPr>
                <w:rFonts w:ascii="宋体" w:hAnsi="宋体" w:cs="Arial"/>
                <w:kern w:val="0"/>
                <w:szCs w:val="21"/>
              </w:rPr>
            </w:pPr>
            <w:r>
              <w:rPr>
                <w:rFonts w:hint="eastAsia" w:ascii="宋体" w:hAnsi="宋体" w:cs="Arial"/>
                <w:kern w:val="0"/>
                <w:szCs w:val="21"/>
              </w:rPr>
              <w:t>个人信息</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姓    名</w:t>
            </w:r>
          </w:p>
        </w:tc>
        <w:tc>
          <w:tcPr>
            <w:tcW w:w="3740" w:type="dxa"/>
            <w:gridSpan w:val="3"/>
            <w:vAlign w:val="center"/>
          </w:tcPr>
          <w:p>
            <w:pPr>
              <w:widowControl/>
              <w:spacing w:line="270" w:lineRule="atLeast"/>
              <w:ind w:right="360"/>
              <w:rPr>
                <w:rFonts w:ascii="宋体" w:hAnsi="宋体" w:cs="Arial"/>
                <w:kern w:val="0"/>
                <w:sz w:val="18"/>
                <w:szCs w:val="18"/>
              </w:rPr>
            </w:pPr>
            <w:r>
              <w:rPr>
                <w:rFonts w:hint="eastAsia" w:ascii="华文新魏" w:hAnsi="宋体" w:eastAsia="华文新魏" w:cs="Arial"/>
                <w:kern w:val="0"/>
                <w:sz w:val="22"/>
                <w:u w:val="single"/>
              </w:rPr>
              <w:t xml:space="preserve">              </w:t>
            </w:r>
            <w:r>
              <w:rPr>
                <w:rFonts w:hint="eastAsia" w:ascii="宋体" w:hAnsi="宋体"/>
                <w:sz w:val="18"/>
                <w:szCs w:val="18"/>
              </w:rPr>
              <w:t>□</w:t>
            </w:r>
            <w:r>
              <w:rPr>
                <w:rFonts w:hint="eastAsia" w:ascii="宋体" w:hAnsi="宋体" w:cs="Arial"/>
                <w:kern w:val="0"/>
                <w:sz w:val="18"/>
                <w:szCs w:val="18"/>
              </w:rPr>
              <w:t xml:space="preserve">先生  </w:t>
            </w:r>
            <w:r>
              <w:rPr>
                <w:rFonts w:hint="eastAsia" w:ascii="宋体" w:hAnsi="宋体"/>
                <w:sz w:val="18"/>
                <w:szCs w:val="18"/>
              </w:rPr>
              <w:t>□</w:t>
            </w:r>
            <w:r>
              <w:rPr>
                <w:rFonts w:hint="eastAsia" w:ascii="宋体" w:hAnsi="宋体" w:cs="Arial"/>
                <w:kern w:val="0"/>
                <w:sz w:val="18"/>
                <w:szCs w:val="18"/>
              </w:rPr>
              <w:t>女士</w:t>
            </w: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出生年月</w:t>
            </w:r>
          </w:p>
        </w:tc>
        <w:tc>
          <w:tcPr>
            <w:tcW w:w="3209" w:type="dxa"/>
            <w:gridSpan w:val="3"/>
            <w:vAlign w:val="center"/>
          </w:tcPr>
          <w:p>
            <w:pPr>
              <w:widowControl/>
              <w:spacing w:line="270" w:lineRule="atLeast"/>
              <w:rPr>
                <w:rFonts w:ascii="宋体" w:hAnsi="宋体" w:cs="Arial"/>
                <w:kern w:val="0"/>
                <w:szCs w:val="21"/>
              </w:rPr>
            </w:pPr>
            <w:r>
              <w:rPr>
                <w:rFonts w:hint="eastAsia" w:ascii="华文新魏" w:hAnsi="宋体" w:eastAsia="华文新魏" w:cs="Arial"/>
                <w:kern w:val="0"/>
                <w:sz w:val="22"/>
                <w:u w:val="single"/>
              </w:rPr>
              <w:t xml:space="preserve">     </w:t>
            </w:r>
            <w:r>
              <w:rPr>
                <w:rFonts w:hint="eastAsia" w:ascii="宋体" w:hAnsi="宋体" w:cs="Arial"/>
                <w:kern w:val="0"/>
                <w:szCs w:val="21"/>
              </w:rPr>
              <w:t>年</w:t>
            </w:r>
            <w:r>
              <w:rPr>
                <w:rFonts w:hint="eastAsia" w:ascii="华文新魏" w:hAnsi="宋体" w:eastAsia="华文新魏" w:cs="Arial"/>
                <w:kern w:val="0"/>
                <w:sz w:val="22"/>
                <w:u w:val="single"/>
              </w:rPr>
              <w:t xml:space="preserve">    </w:t>
            </w:r>
            <w:r>
              <w:rPr>
                <w:rFonts w:hint="eastAsia" w:ascii="宋体" w:hAnsi="宋体" w:cs="Arial"/>
                <w:kern w:val="0"/>
                <w:szCs w:val="21"/>
              </w:rPr>
              <w:t>月</w:t>
            </w:r>
            <w:r>
              <w:rPr>
                <w:rFonts w:hint="eastAsia" w:ascii="华文新魏" w:hAnsi="宋体" w:eastAsia="华文新魏" w:cs="Arial"/>
                <w:kern w:val="0"/>
                <w:sz w:val="22"/>
                <w:u w:val="single"/>
              </w:rPr>
              <w:t xml:space="preserve">    </w:t>
            </w:r>
            <w:r>
              <w:rPr>
                <w:rFonts w:hint="eastAsia" w:ascii="宋体" w:hAnsi="宋体" w:cs="Arial"/>
                <w:kern w:val="0"/>
                <w:szCs w:val="21"/>
              </w:rPr>
              <w:t>日</w:t>
            </w:r>
          </w:p>
          <w:p>
            <w:pPr>
              <w:widowControl/>
              <w:spacing w:line="270" w:lineRule="atLeast"/>
              <w:ind w:firstLine="180" w:firstLineChars="100"/>
              <w:jc w:val="right"/>
              <w:rPr>
                <w:rFonts w:ascii="宋体" w:hAnsi="宋体" w:cs="Arial"/>
                <w:kern w:val="0"/>
                <w:szCs w:val="21"/>
              </w:rPr>
            </w:pPr>
            <w:r>
              <w:rPr>
                <w:rFonts w:hint="eastAsia" w:ascii="宋体" w:hAnsi="宋体"/>
                <w:sz w:val="18"/>
                <w:szCs w:val="18"/>
              </w:rPr>
              <w:t>□</w:t>
            </w:r>
            <w:r>
              <w:rPr>
                <w:rFonts w:hint="eastAsia" w:ascii="宋体" w:hAnsi="宋体" w:cs="Arial"/>
                <w:kern w:val="0"/>
                <w:sz w:val="18"/>
                <w:szCs w:val="18"/>
              </w:rPr>
              <w:t xml:space="preserve">阴历   </w:t>
            </w:r>
            <w:r>
              <w:rPr>
                <w:rFonts w:hint="eastAsia" w:ascii="宋体" w:hAnsi="宋体"/>
                <w:sz w:val="18"/>
                <w:szCs w:val="18"/>
              </w:rPr>
              <w:t>□</w:t>
            </w:r>
            <w:r>
              <w:rPr>
                <w:rFonts w:hint="eastAsia" w:ascii="宋体" w:hAnsi="宋体" w:cs="Arial"/>
                <w:kern w:val="0"/>
                <w:sz w:val="18"/>
                <w:szCs w:val="18"/>
              </w:rPr>
              <w:t>阳历</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00" w:lineRule="exact"/>
              <w:jc w:val="left"/>
              <w:rPr>
                <w:rFonts w:ascii="宋体" w:hAnsi="宋体" w:cs="Arial"/>
                <w:kern w:val="0"/>
                <w:szCs w:val="21"/>
              </w:rPr>
            </w:pPr>
            <w:r>
              <w:rPr>
                <w:rFonts w:hint="eastAsia" w:ascii="宋体" w:hAnsi="宋体" w:cs="Arial"/>
                <w:kern w:val="0"/>
                <w:sz w:val="18"/>
                <w:szCs w:val="18"/>
              </w:rPr>
              <w:t>身份证/护照号</w:t>
            </w:r>
          </w:p>
        </w:tc>
        <w:tc>
          <w:tcPr>
            <w:tcW w:w="3740" w:type="dxa"/>
            <w:gridSpan w:val="3"/>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国    籍</w:t>
            </w:r>
          </w:p>
        </w:tc>
        <w:tc>
          <w:tcPr>
            <w:tcW w:w="1248" w:type="dxa"/>
            <w:vAlign w:val="center"/>
          </w:tcPr>
          <w:p>
            <w:pPr>
              <w:widowControl/>
              <w:spacing w:line="270" w:lineRule="atLeast"/>
              <w:rPr>
                <w:rFonts w:ascii="宋体" w:hAnsi="宋体" w:cs="Arial"/>
                <w:kern w:val="0"/>
                <w:szCs w:val="21"/>
              </w:rPr>
            </w:pPr>
          </w:p>
        </w:tc>
        <w:tc>
          <w:tcPr>
            <w:tcW w:w="791" w:type="dxa"/>
            <w:vAlign w:val="center"/>
          </w:tcPr>
          <w:p>
            <w:pPr>
              <w:widowControl/>
              <w:spacing w:line="270" w:lineRule="atLeast"/>
              <w:rPr>
                <w:rFonts w:ascii="宋体" w:hAnsi="宋体" w:cs="Arial"/>
                <w:kern w:val="0"/>
                <w:szCs w:val="21"/>
              </w:rPr>
            </w:pPr>
            <w:r>
              <w:rPr>
                <w:rFonts w:hint="eastAsia" w:ascii="宋体" w:hAnsi="宋体" w:cs="Arial"/>
                <w:kern w:val="0"/>
                <w:szCs w:val="21"/>
              </w:rPr>
              <w:t>民 族</w:t>
            </w:r>
          </w:p>
        </w:tc>
        <w:tc>
          <w:tcPr>
            <w:tcW w:w="1170" w:type="dxa"/>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邮    箱</w:t>
            </w:r>
          </w:p>
        </w:tc>
        <w:tc>
          <w:tcPr>
            <w:tcW w:w="3740" w:type="dxa"/>
            <w:gridSpan w:val="3"/>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手    机</w:t>
            </w:r>
          </w:p>
        </w:tc>
        <w:tc>
          <w:tcPr>
            <w:tcW w:w="3209" w:type="dxa"/>
            <w:gridSpan w:val="3"/>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邮寄地址</w:t>
            </w:r>
          </w:p>
        </w:tc>
        <w:tc>
          <w:tcPr>
            <w:tcW w:w="6481" w:type="dxa"/>
            <w:gridSpan w:val="5"/>
            <w:vAlign w:val="center"/>
          </w:tcPr>
          <w:p>
            <w:pPr>
              <w:widowControl/>
              <w:spacing w:line="270" w:lineRule="atLeast"/>
              <w:rPr>
                <w:rFonts w:ascii="宋体" w:hAnsi="宋体" w:cs="Arial"/>
                <w:kern w:val="0"/>
                <w:szCs w:val="21"/>
              </w:rPr>
            </w:pPr>
          </w:p>
        </w:tc>
        <w:tc>
          <w:tcPr>
            <w:tcW w:w="791"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邮 编</w:t>
            </w:r>
          </w:p>
        </w:tc>
        <w:tc>
          <w:tcPr>
            <w:tcW w:w="1170" w:type="dxa"/>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最高学历</w:t>
            </w:r>
          </w:p>
        </w:tc>
        <w:tc>
          <w:tcPr>
            <w:tcW w:w="3740" w:type="dxa"/>
            <w:gridSpan w:val="3"/>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专    业</w:t>
            </w:r>
          </w:p>
        </w:tc>
        <w:tc>
          <w:tcPr>
            <w:tcW w:w="3209" w:type="dxa"/>
            <w:gridSpan w:val="3"/>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毕业院校</w:t>
            </w:r>
          </w:p>
        </w:tc>
        <w:tc>
          <w:tcPr>
            <w:tcW w:w="3740" w:type="dxa"/>
            <w:gridSpan w:val="3"/>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毕业时间</w:t>
            </w:r>
          </w:p>
        </w:tc>
        <w:tc>
          <w:tcPr>
            <w:tcW w:w="3209" w:type="dxa"/>
            <w:gridSpan w:val="3"/>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exact"/>
          <w:jc w:val="center"/>
        </w:trPr>
        <w:tc>
          <w:tcPr>
            <w:tcW w:w="1554" w:type="dxa"/>
            <w:gridSpan w:val="2"/>
            <w:vAlign w:val="center"/>
          </w:tcPr>
          <w:p>
            <w:pPr>
              <w:widowControl/>
              <w:spacing w:line="270" w:lineRule="atLeast"/>
              <w:rPr>
                <w:rFonts w:ascii="宋体" w:hAnsi="宋体" w:cs="Arial"/>
                <w:kern w:val="0"/>
                <w:szCs w:val="21"/>
              </w:rPr>
            </w:pPr>
            <w:r>
              <w:rPr>
                <w:rFonts w:hint="eastAsia" w:ascii="宋体" w:hAnsi="宋体" w:cs="Arial"/>
                <w:kern w:val="0"/>
                <w:szCs w:val="21"/>
              </w:rPr>
              <w:t>公司名称</w:t>
            </w:r>
          </w:p>
        </w:tc>
        <w:tc>
          <w:tcPr>
            <w:tcW w:w="8414" w:type="dxa"/>
            <w:gridSpan w:val="6"/>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exact"/>
          <w:jc w:val="center"/>
        </w:trPr>
        <w:tc>
          <w:tcPr>
            <w:tcW w:w="1554" w:type="dxa"/>
            <w:gridSpan w:val="2"/>
            <w:vAlign w:val="center"/>
          </w:tcPr>
          <w:p>
            <w:pPr>
              <w:widowControl/>
              <w:spacing w:line="270" w:lineRule="atLeast"/>
              <w:rPr>
                <w:rFonts w:ascii="宋体" w:hAnsi="宋体" w:cs="Arial"/>
                <w:kern w:val="0"/>
                <w:szCs w:val="21"/>
              </w:rPr>
            </w:pPr>
            <w:r>
              <w:rPr>
                <w:rFonts w:hint="eastAsia" w:ascii="宋体" w:hAnsi="宋体" w:cs="Arial"/>
                <w:kern w:val="0"/>
                <w:szCs w:val="21"/>
              </w:rPr>
              <w:t>办公电话</w:t>
            </w:r>
          </w:p>
        </w:tc>
        <w:tc>
          <w:tcPr>
            <w:tcW w:w="3712" w:type="dxa"/>
            <w:gridSpan w:val="2"/>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传真</w:t>
            </w:r>
          </w:p>
        </w:tc>
        <w:tc>
          <w:tcPr>
            <w:tcW w:w="3209" w:type="dxa"/>
            <w:gridSpan w:val="3"/>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exact"/>
          <w:jc w:val="center"/>
        </w:trPr>
        <w:tc>
          <w:tcPr>
            <w:tcW w:w="1554" w:type="dxa"/>
            <w:gridSpan w:val="2"/>
            <w:vAlign w:val="center"/>
          </w:tcPr>
          <w:p>
            <w:pPr>
              <w:widowControl/>
              <w:spacing w:line="270" w:lineRule="atLeast"/>
              <w:rPr>
                <w:rFonts w:ascii="宋体" w:hAnsi="宋体" w:cs="Arial"/>
                <w:kern w:val="0"/>
                <w:szCs w:val="21"/>
              </w:rPr>
            </w:pPr>
            <w:r>
              <w:rPr>
                <w:rFonts w:hint="eastAsia" w:ascii="宋体" w:hAnsi="宋体" w:cs="Arial"/>
                <w:kern w:val="0"/>
                <w:szCs w:val="21"/>
              </w:rPr>
              <w:t>现任职务</w:t>
            </w:r>
          </w:p>
        </w:tc>
        <w:tc>
          <w:tcPr>
            <w:tcW w:w="3712" w:type="dxa"/>
            <w:gridSpan w:val="2"/>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已担任该职务</w:t>
            </w:r>
          </w:p>
        </w:tc>
        <w:tc>
          <w:tcPr>
            <w:tcW w:w="3209" w:type="dxa"/>
            <w:gridSpan w:val="3"/>
            <w:vAlign w:val="center"/>
          </w:tcPr>
          <w:p>
            <w:pPr>
              <w:widowControl/>
              <w:spacing w:line="270" w:lineRule="atLeast"/>
              <w:rPr>
                <w:rFonts w:ascii="宋体" w:hAnsi="宋体" w:cs="Arial"/>
                <w:kern w:val="0"/>
                <w:szCs w:val="21"/>
              </w:rPr>
            </w:pPr>
            <w:r>
              <w:rPr>
                <w:rFonts w:hint="eastAsia" w:ascii="宋体" w:hAnsi="宋体" w:cs="Arial"/>
                <w:kern w:val="0"/>
                <w:sz w:val="18"/>
                <w:szCs w:val="18"/>
                <w:u w:val="single"/>
              </w:rPr>
              <w:t xml:space="preserve">             </w:t>
            </w:r>
            <w:r>
              <w:rPr>
                <w:rFonts w:hint="eastAsia" w:ascii="宋体" w:hAnsi="宋体" w:cs="Arial"/>
                <w:kern w:val="0"/>
                <w:sz w:val="18"/>
                <w:szCs w:val="18"/>
              </w:rPr>
              <w:t>年</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exact"/>
          <w:jc w:val="center"/>
        </w:trPr>
        <w:tc>
          <w:tcPr>
            <w:tcW w:w="1554" w:type="dxa"/>
            <w:gridSpan w:val="2"/>
            <w:vAlign w:val="center"/>
          </w:tcPr>
          <w:p>
            <w:pPr>
              <w:widowControl/>
              <w:spacing w:line="270" w:lineRule="atLeast"/>
              <w:jc w:val="left"/>
              <w:rPr>
                <w:rFonts w:ascii="宋体" w:hAnsi="宋体" w:cs="Arial"/>
                <w:kern w:val="0"/>
                <w:szCs w:val="21"/>
              </w:rPr>
            </w:pPr>
            <w:r>
              <w:rPr>
                <w:rFonts w:hint="eastAsia" w:ascii="宋体" w:hAnsi="宋体" w:cs="Arial"/>
                <w:kern w:val="0"/>
                <w:szCs w:val="21"/>
              </w:rPr>
              <w:t>公司员工人数</w:t>
            </w:r>
          </w:p>
        </w:tc>
        <w:tc>
          <w:tcPr>
            <w:tcW w:w="3712" w:type="dxa"/>
            <w:gridSpan w:val="2"/>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下属员工人数</w:t>
            </w:r>
          </w:p>
        </w:tc>
        <w:tc>
          <w:tcPr>
            <w:tcW w:w="3209" w:type="dxa"/>
            <w:gridSpan w:val="3"/>
            <w:vAlign w:val="center"/>
          </w:tcPr>
          <w:p>
            <w:pPr>
              <w:widowControl/>
              <w:spacing w:line="270" w:lineRule="atLeast"/>
              <w:rPr>
                <w:rFonts w:ascii="宋体" w:hAnsi="宋体" w:cs="Arial"/>
                <w:kern w:val="0"/>
                <w:szCs w:val="21"/>
              </w:rPr>
            </w:pPr>
            <w:r>
              <w:rPr>
                <w:rFonts w:hint="eastAsia" w:ascii="宋体" w:hAnsi="宋体" w:cs="Arial"/>
                <w:kern w:val="0"/>
                <w:sz w:val="18"/>
                <w:szCs w:val="18"/>
                <w:u w:val="single"/>
              </w:rPr>
              <w:t xml:space="preserve">             </w:t>
            </w:r>
            <w:r>
              <w:rPr>
                <w:rFonts w:hint="eastAsia" w:ascii="宋体" w:hAnsi="宋体" w:cs="Arial"/>
                <w:kern w:val="0"/>
                <w:sz w:val="18"/>
                <w:szCs w:val="18"/>
              </w:rPr>
              <w:t>人</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exact"/>
          <w:jc w:val="center"/>
        </w:trPr>
        <w:tc>
          <w:tcPr>
            <w:tcW w:w="1554" w:type="dxa"/>
            <w:gridSpan w:val="2"/>
            <w:vAlign w:val="center"/>
          </w:tcPr>
          <w:p>
            <w:pPr>
              <w:widowControl/>
              <w:spacing w:line="270" w:lineRule="atLeast"/>
              <w:rPr>
                <w:rFonts w:ascii="宋体" w:hAnsi="宋体" w:cs="Arial"/>
                <w:kern w:val="0"/>
                <w:szCs w:val="21"/>
              </w:rPr>
            </w:pPr>
            <w:r>
              <w:rPr>
                <w:rFonts w:hint="eastAsia" w:ascii="宋体" w:hAnsi="宋体" w:cs="Arial"/>
                <w:kern w:val="0"/>
                <w:szCs w:val="21"/>
              </w:rPr>
              <w:t>公司年销售额</w:t>
            </w:r>
          </w:p>
        </w:tc>
        <w:tc>
          <w:tcPr>
            <w:tcW w:w="3712" w:type="dxa"/>
            <w:gridSpan w:val="2"/>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公司总资产</w:t>
            </w:r>
          </w:p>
        </w:tc>
        <w:tc>
          <w:tcPr>
            <w:tcW w:w="3209" w:type="dxa"/>
            <w:gridSpan w:val="3"/>
            <w:vAlign w:val="center"/>
          </w:tcPr>
          <w:p>
            <w:pPr>
              <w:widowControl/>
              <w:spacing w:line="270" w:lineRule="atLeast"/>
              <w:rPr>
                <w:rFonts w:ascii="宋体" w:hAnsi="宋体" w:cs="Arial"/>
                <w:kern w:val="0"/>
                <w:szCs w:val="21"/>
              </w:rPr>
            </w:pPr>
            <w:r>
              <w:rPr>
                <w:rFonts w:hint="eastAsia" w:ascii="宋体" w:hAnsi="宋体" w:cs="Arial"/>
                <w:kern w:val="0"/>
                <w:sz w:val="18"/>
                <w:szCs w:val="18"/>
                <w:u w:val="single"/>
              </w:rPr>
              <w:t xml:space="preserve">             </w:t>
            </w:r>
            <w:r>
              <w:rPr>
                <w:rFonts w:hint="eastAsia" w:ascii="宋体" w:hAnsi="宋体" w:cs="Arial"/>
                <w:kern w:val="0"/>
                <w:szCs w:val="21"/>
              </w:rPr>
              <w:t>元人民币</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557" w:hRule="atLeast"/>
          <w:jc w:val="center"/>
        </w:trPr>
        <w:tc>
          <w:tcPr>
            <w:tcW w:w="1554" w:type="dxa"/>
            <w:gridSpan w:val="2"/>
            <w:vAlign w:val="center"/>
          </w:tcPr>
          <w:p>
            <w:pPr>
              <w:widowControl/>
              <w:spacing w:line="270" w:lineRule="atLeast"/>
              <w:rPr>
                <w:rFonts w:ascii="宋体" w:hAnsi="宋体" w:cs="Arial"/>
                <w:kern w:val="0"/>
                <w:szCs w:val="21"/>
              </w:rPr>
            </w:pPr>
            <w:r>
              <w:rPr>
                <w:rFonts w:hint="eastAsia" w:ascii="宋体" w:hAnsi="宋体" w:cs="Arial"/>
                <w:kern w:val="0"/>
                <w:szCs w:val="21"/>
              </w:rPr>
              <w:t>公司性质</w:t>
            </w:r>
          </w:p>
        </w:tc>
        <w:tc>
          <w:tcPr>
            <w:tcW w:w="8414" w:type="dxa"/>
            <w:gridSpan w:val="6"/>
            <w:vAlign w:val="center"/>
          </w:tcPr>
          <w:p>
            <w:pPr>
              <w:widowControl/>
              <w:spacing w:line="270" w:lineRule="atLeast"/>
              <w:rPr>
                <w:rFonts w:ascii="宋体" w:hAnsi="宋体" w:cs="Arial"/>
                <w:kern w:val="0"/>
                <w:sz w:val="18"/>
                <w:szCs w:val="18"/>
                <w:u w:val="single"/>
              </w:rPr>
            </w:pPr>
            <w:r>
              <w:rPr>
                <w:rFonts w:hint="eastAsia" w:ascii="宋体" w:hAnsi="宋体"/>
                <w:sz w:val="18"/>
                <w:szCs w:val="18"/>
              </w:rPr>
              <w:t>□</w:t>
            </w:r>
            <w:r>
              <w:rPr>
                <w:rFonts w:hint="eastAsia" w:ascii="宋体" w:hAnsi="宋体" w:cs="Arial"/>
                <w:kern w:val="0"/>
                <w:sz w:val="18"/>
                <w:szCs w:val="18"/>
              </w:rPr>
              <w:t xml:space="preserve">国有企业   </w:t>
            </w:r>
            <w:r>
              <w:rPr>
                <w:rFonts w:hint="eastAsia" w:ascii="宋体" w:hAnsi="宋体"/>
                <w:sz w:val="18"/>
                <w:szCs w:val="18"/>
              </w:rPr>
              <w:t>□</w:t>
            </w:r>
            <w:r>
              <w:rPr>
                <w:rFonts w:hint="eastAsia" w:ascii="宋体" w:hAnsi="宋体" w:cs="Arial"/>
                <w:kern w:val="0"/>
                <w:sz w:val="18"/>
                <w:szCs w:val="18"/>
              </w:rPr>
              <w:t xml:space="preserve">民营/私营企业   </w:t>
            </w:r>
            <w:r>
              <w:rPr>
                <w:rFonts w:hint="eastAsia" w:ascii="宋体" w:hAnsi="宋体"/>
                <w:sz w:val="18"/>
                <w:szCs w:val="18"/>
              </w:rPr>
              <w:t>□</w:t>
            </w:r>
            <w:r>
              <w:rPr>
                <w:rFonts w:hint="eastAsia" w:ascii="宋体" w:hAnsi="宋体" w:cs="Arial"/>
                <w:kern w:val="0"/>
                <w:sz w:val="18"/>
                <w:szCs w:val="18"/>
              </w:rPr>
              <w:t xml:space="preserve">合资/合作企业    </w:t>
            </w:r>
            <w:r>
              <w:rPr>
                <w:rFonts w:hint="eastAsia" w:ascii="宋体" w:hAnsi="宋体"/>
                <w:sz w:val="18"/>
                <w:szCs w:val="18"/>
              </w:rPr>
              <w:t>□</w:t>
            </w:r>
            <w:r>
              <w:rPr>
                <w:rFonts w:hint="eastAsia" w:ascii="宋体" w:hAnsi="宋体" w:cs="Arial"/>
                <w:kern w:val="0"/>
                <w:sz w:val="18"/>
                <w:szCs w:val="18"/>
              </w:rPr>
              <w:t>其它（请注明）</w:t>
            </w:r>
            <w:r>
              <w:rPr>
                <w:rFonts w:hint="eastAsia" w:ascii="宋体" w:hAnsi="宋体" w:cs="Arial"/>
                <w:kern w:val="0"/>
                <w:sz w:val="18"/>
                <w:szCs w:val="18"/>
                <w:u w:val="single"/>
              </w:rPr>
              <w:t xml:space="preserve">                         </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1672" w:hRule="exact"/>
          <w:jc w:val="center"/>
        </w:trPr>
        <w:tc>
          <w:tcPr>
            <w:tcW w:w="1554" w:type="dxa"/>
            <w:gridSpan w:val="2"/>
            <w:vAlign w:val="center"/>
          </w:tcPr>
          <w:p>
            <w:pPr>
              <w:widowControl/>
              <w:jc w:val="left"/>
              <w:rPr>
                <w:rFonts w:ascii="宋体" w:hAnsi="宋体" w:cs="Arial"/>
                <w:kern w:val="0"/>
                <w:szCs w:val="21"/>
              </w:rPr>
            </w:pPr>
            <w:r>
              <w:rPr>
                <w:rFonts w:hint="eastAsia" w:ascii="宋体" w:hAnsi="宋体" w:cs="Arial"/>
                <w:kern w:val="0"/>
                <w:szCs w:val="21"/>
              </w:rPr>
              <w:t>公司所属行业</w:t>
            </w:r>
          </w:p>
        </w:tc>
        <w:tc>
          <w:tcPr>
            <w:tcW w:w="8414" w:type="dxa"/>
            <w:gridSpan w:val="6"/>
            <w:vAlign w:val="center"/>
          </w:tcPr>
          <w:p>
            <w:pPr>
              <w:spacing w:line="300" w:lineRule="exact"/>
              <w:rPr>
                <w:rFonts w:ascii="宋体" w:hAnsi="宋体"/>
                <w:sz w:val="18"/>
                <w:szCs w:val="18"/>
              </w:rPr>
            </w:pPr>
            <w:r>
              <w:rPr>
                <w:rFonts w:hint="eastAsia" w:ascii="宋体" w:hAnsi="宋体"/>
                <w:sz w:val="18"/>
                <w:szCs w:val="18"/>
              </w:rPr>
              <w:t>□</w:t>
            </w:r>
            <w:r>
              <w:rPr>
                <w:rFonts w:ascii="宋体" w:hAnsi="宋体"/>
                <w:sz w:val="18"/>
                <w:szCs w:val="18"/>
              </w:rPr>
              <w:t>消费品</w:t>
            </w:r>
            <w:r>
              <w:rPr>
                <w:rFonts w:hint="eastAsia" w:ascii="宋体" w:hAnsi="宋体"/>
                <w:sz w:val="18"/>
                <w:szCs w:val="18"/>
              </w:rPr>
              <w:t xml:space="preserve">        □</w:t>
            </w:r>
            <w:r>
              <w:rPr>
                <w:rFonts w:ascii="宋体" w:hAnsi="宋体"/>
                <w:sz w:val="18"/>
                <w:szCs w:val="18"/>
              </w:rPr>
              <w:t>轻工业品</w:t>
            </w:r>
            <w:r>
              <w:rPr>
                <w:rFonts w:hint="eastAsia" w:ascii="宋体" w:hAnsi="宋体"/>
                <w:sz w:val="18"/>
                <w:szCs w:val="18"/>
              </w:rPr>
              <w:t xml:space="preserve">          □</w:t>
            </w:r>
            <w:r>
              <w:rPr>
                <w:rFonts w:ascii="宋体" w:hAnsi="宋体"/>
                <w:sz w:val="18"/>
                <w:szCs w:val="18"/>
              </w:rPr>
              <w:t>商业贸易/零售</w:t>
            </w:r>
            <w:r>
              <w:rPr>
                <w:rFonts w:hint="eastAsia" w:ascii="宋体" w:hAnsi="宋体"/>
                <w:sz w:val="18"/>
                <w:szCs w:val="18"/>
              </w:rPr>
              <w:t xml:space="preserve">        □</w:t>
            </w:r>
            <w:r>
              <w:rPr>
                <w:rFonts w:ascii="宋体" w:hAnsi="宋体"/>
                <w:sz w:val="18"/>
                <w:szCs w:val="18"/>
              </w:rPr>
              <w:t>工业品/设备/元器件</w:t>
            </w:r>
          </w:p>
          <w:p>
            <w:pPr>
              <w:spacing w:line="300" w:lineRule="exact"/>
              <w:rPr>
                <w:rFonts w:ascii="宋体" w:hAnsi="宋体"/>
                <w:sz w:val="18"/>
                <w:szCs w:val="18"/>
              </w:rPr>
            </w:pPr>
            <w:r>
              <w:rPr>
                <w:rFonts w:hint="eastAsia" w:ascii="宋体" w:hAnsi="宋体"/>
                <w:sz w:val="18"/>
                <w:szCs w:val="18"/>
              </w:rPr>
              <w:t>□</w:t>
            </w:r>
            <w:r>
              <w:rPr>
                <w:rFonts w:ascii="宋体" w:hAnsi="宋体"/>
                <w:sz w:val="18"/>
                <w:szCs w:val="18"/>
              </w:rPr>
              <w:t>公共事业</w:t>
            </w:r>
            <w:r>
              <w:rPr>
                <w:rFonts w:hint="eastAsia" w:ascii="宋体" w:hAnsi="宋体"/>
                <w:sz w:val="18"/>
                <w:szCs w:val="18"/>
              </w:rPr>
              <w:t xml:space="preserve">      □</w:t>
            </w:r>
            <w:r>
              <w:rPr>
                <w:rFonts w:ascii="宋体" w:hAnsi="宋体"/>
                <w:sz w:val="18"/>
                <w:szCs w:val="18"/>
              </w:rPr>
              <w:t>交通/物流/运输</w:t>
            </w:r>
            <w:r>
              <w:rPr>
                <w:rFonts w:hint="eastAsia" w:ascii="宋体" w:hAnsi="宋体"/>
                <w:sz w:val="18"/>
                <w:szCs w:val="18"/>
              </w:rPr>
              <w:t xml:space="preserve">    □</w:t>
            </w:r>
            <w:r>
              <w:rPr>
                <w:rFonts w:ascii="宋体" w:hAnsi="宋体"/>
                <w:sz w:val="18"/>
                <w:szCs w:val="18"/>
              </w:rPr>
              <w:t>交通运输设备</w:t>
            </w:r>
            <w:r>
              <w:rPr>
                <w:rFonts w:hint="eastAsia" w:ascii="宋体" w:hAnsi="宋体"/>
                <w:sz w:val="18"/>
                <w:szCs w:val="18"/>
              </w:rPr>
              <w:t xml:space="preserve">         □</w:t>
            </w:r>
            <w:r>
              <w:rPr>
                <w:rFonts w:ascii="宋体" w:hAnsi="宋体"/>
                <w:sz w:val="18"/>
                <w:szCs w:val="18"/>
              </w:rPr>
              <w:t>传媒/广告/娱乐/文化/影视</w:t>
            </w:r>
          </w:p>
          <w:p>
            <w:pPr>
              <w:spacing w:line="300" w:lineRule="exact"/>
              <w:rPr>
                <w:rFonts w:ascii="宋体" w:hAnsi="宋体"/>
                <w:sz w:val="18"/>
                <w:szCs w:val="18"/>
              </w:rPr>
            </w:pPr>
            <w:r>
              <w:rPr>
                <w:rFonts w:hint="eastAsia" w:ascii="宋体" w:hAnsi="宋体"/>
                <w:sz w:val="18"/>
                <w:szCs w:val="18"/>
              </w:rPr>
              <w:t>□</w:t>
            </w:r>
            <w:r>
              <w:rPr>
                <w:rFonts w:ascii="宋体" w:hAnsi="宋体"/>
                <w:sz w:val="18"/>
                <w:szCs w:val="18"/>
              </w:rPr>
              <w:t>电信/IT</w:t>
            </w:r>
            <w:r>
              <w:rPr>
                <w:rFonts w:hint="eastAsia" w:ascii="宋体" w:hAnsi="宋体"/>
                <w:sz w:val="18"/>
                <w:szCs w:val="18"/>
              </w:rPr>
              <w:t xml:space="preserve">       □</w:t>
            </w:r>
            <w:r>
              <w:rPr>
                <w:rFonts w:ascii="宋体" w:hAnsi="宋体"/>
                <w:sz w:val="18"/>
                <w:szCs w:val="18"/>
              </w:rPr>
              <w:t>房地产/建筑</w:t>
            </w:r>
            <w:r>
              <w:rPr>
                <w:rFonts w:hint="eastAsia" w:ascii="宋体" w:hAnsi="宋体"/>
                <w:sz w:val="18"/>
                <w:szCs w:val="18"/>
              </w:rPr>
              <w:t xml:space="preserve">       □</w:t>
            </w:r>
            <w:r>
              <w:rPr>
                <w:rFonts w:ascii="宋体" w:hAnsi="宋体"/>
                <w:sz w:val="18"/>
                <w:szCs w:val="18"/>
              </w:rPr>
              <w:t>餐饮/旅游/酒店</w:t>
            </w:r>
            <w:r>
              <w:rPr>
                <w:rFonts w:hint="eastAsia" w:ascii="宋体" w:hAnsi="宋体"/>
                <w:sz w:val="18"/>
                <w:szCs w:val="18"/>
              </w:rPr>
              <w:t xml:space="preserve">       □</w:t>
            </w:r>
            <w:r>
              <w:rPr>
                <w:rFonts w:ascii="宋体" w:hAnsi="宋体"/>
                <w:sz w:val="18"/>
                <w:szCs w:val="18"/>
              </w:rPr>
              <w:t>金融/保险/投资</w:t>
            </w:r>
            <w:r>
              <w:rPr>
                <w:rFonts w:hint="eastAsia" w:ascii="宋体" w:hAnsi="宋体"/>
                <w:sz w:val="18"/>
                <w:szCs w:val="18"/>
              </w:rPr>
              <w:t xml:space="preserve">  </w:t>
            </w:r>
          </w:p>
          <w:p>
            <w:pPr>
              <w:spacing w:line="300" w:lineRule="exact"/>
              <w:rPr>
                <w:rFonts w:ascii="宋体" w:hAnsi="宋体"/>
                <w:sz w:val="18"/>
                <w:szCs w:val="18"/>
              </w:rPr>
            </w:pPr>
            <w:r>
              <w:rPr>
                <w:rFonts w:hint="eastAsia" w:ascii="宋体" w:hAnsi="宋体"/>
                <w:sz w:val="18"/>
                <w:szCs w:val="18"/>
              </w:rPr>
              <w:t>□</w:t>
            </w:r>
            <w:r>
              <w:rPr>
                <w:rFonts w:ascii="宋体" w:hAnsi="宋体"/>
                <w:sz w:val="18"/>
                <w:szCs w:val="18"/>
              </w:rPr>
              <w:t>能源/化工</w:t>
            </w:r>
            <w:r>
              <w:rPr>
                <w:rFonts w:hint="eastAsia" w:ascii="宋体" w:hAnsi="宋体"/>
                <w:sz w:val="18"/>
                <w:szCs w:val="18"/>
              </w:rPr>
              <w:t xml:space="preserve">     □</w:t>
            </w:r>
            <w:r>
              <w:rPr>
                <w:rFonts w:ascii="宋体" w:hAnsi="宋体"/>
                <w:sz w:val="18"/>
                <w:szCs w:val="18"/>
              </w:rPr>
              <w:t>钢铁/矿业</w:t>
            </w:r>
            <w:r>
              <w:rPr>
                <w:rFonts w:hint="eastAsia" w:ascii="宋体" w:hAnsi="宋体"/>
                <w:sz w:val="18"/>
                <w:szCs w:val="18"/>
              </w:rPr>
              <w:t xml:space="preserve">         □</w:t>
            </w:r>
            <w:r>
              <w:rPr>
                <w:rFonts w:ascii="宋体" w:hAnsi="宋体"/>
                <w:sz w:val="18"/>
                <w:szCs w:val="18"/>
              </w:rPr>
              <w:t>医药/生物/保健</w:t>
            </w:r>
            <w:r>
              <w:rPr>
                <w:rFonts w:hint="eastAsia" w:ascii="宋体" w:hAnsi="宋体"/>
                <w:sz w:val="18"/>
                <w:szCs w:val="18"/>
              </w:rPr>
              <w:t xml:space="preserve">       □</w:t>
            </w:r>
            <w:r>
              <w:rPr>
                <w:rFonts w:ascii="宋体" w:hAnsi="宋体"/>
                <w:sz w:val="18"/>
                <w:szCs w:val="18"/>
              </w:rPr>
              <w:t>综合/多元经营</w:t>
            </w:r>
            <w:r>
              <w:rPr>
                <w:rFonts w:hint="eastAsia" w:ascii="宋体" w:hAnsi="宋体"/>
                <w:sz w:val="18"/>
                <w:szCs w:val="18"/>
              </w:rPr>
              <w:t xml:space="preserve">  </w:t>
            </w:r>
          </w:p>
          <w:p>
            <w:pPr>
              <w:spacing w:line="300" w:lineRule="exact"/>
              <w:rPr>
                <w:rFonts w:ascii="华文细黑" w:hAnsi="华文细黑" w:eastAsia="华文细黑"/>
                <w:sz w:val="18"/>
                <w:szCs w:val="18"/>
                <w:u w:val="single"/>
              </w:rPr>
            </w:pPr>
            <w:r>
              <w:rPr>
                <w:rFonts w:hint="eastAsia" w:ascii="宋体" w:hAnsi="宋体"/>
                <w:sz w:val="18"/>
                <w:szCs w:val="18"/>
              </w:rPr>
              <w:t>□</w:t>
            </w:r>
            <w:r>
              <w:rPr>
                <w:rFonts w:ascii="宋体" w:hAnsi="宋体"/>
                <w:sz w:val="18"/>
                <w:szCs w:val="18"/>
              </w:rPr>
              <w:t>其他（请注明）</w:t>
            </w:r>
            <w:r>
              <w:rPr>
                <w:rFonts w:hint="eastAsia" w:ascii="华文细黑" w:hAnsi="华文细黑" w:eastAsia="华文细黑"/>
                <w:sz w:val="18"/>
                <w:szCs w:val="18"/>
                <w:u w:val="single"/>
              </w:rPr>
              <w:t xml:space="preserve">                                                                </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567" w:hRule="atLeast"/>
          <w:jc w:val="center"/>
        </w:trPr>
        <w:tc>
          <w:tcPr>
            <w:tcW w:w="1554" w:type="dxa"/>
            <w:gridSpan w:val="2"/>
            <w:tcBorders>
              <w:bottom w:val="single" w:color="595959" w:sz="6" w:space="0"/>
            </w:tcBorders>
            <w:vAlign w:val="center"/>
          </w:tcPr>
          <w:p>
            <w:pPr>
              <w:widowControl/>
              <w:rPr>
                <w:rFonts w:ascii="宋体" w:hAnsi="宋体" w:cs="Arial"/>
                <w:kern w:val="0"/>
                <w:szCs w:val="21"/>
              </w:rPr>
            </w:pPr>
            <w:r>
              <w:rPr>
                <w:rFonts w:hint="eastAsia" w:ascii="宋体" w:hAnsi="宋体" w:cs="Arial"/>
                <w:kern w:val="0"/>
                <w:szCs w:val="21"/>
              </w:rPr>
              <w:t>贵公司是否为上市公司</w:t>
            </w:r>
          </w:p>
        </w:tc>
        <w:tc>
          <w:tcPr>
            <w:tcW w:w="8414" w:type="dxa"/>
            <w:gridSpan w:val="6"/>
            <w:tcBorders>
              <w:bottom w:val="single" w:color="595959" w:sz="6" w:space="0"/>
            </w:tcBorders>
            <w:vAlign w:val="center"/>
          </w:tcPr>
          <w:p>
            <w:pPr>
              <w:spacing w:line="300" w:lineRule="exact"/>
              <w:rPr>
                <w:rFonts w:ascii="宋体" w:hAnsi="宋体"/>
                <w:sz w:val="18"/>
                <w:szCs w:val="18"/>
              </w:rPr>
            </w:pPr>
            <w:r>
              <w:rPr>
                <w:rFonts w:hint="eastAsia" w:ascii="宋体" w:hAnsi="宋体"/>
                <w:sz w:val="18"/>
                <w:szCs w:val="18"/>
              </w:rPr>
              <w:t>□是（代码为</w:t>
            </w:r>
            <w:r>
              <w:rPr>
                <w:rFonts w:hint="eastAsia" w:ascii="宋体" w:hAnsi="宋体"/>
                <w:sz w:val="18"/>
                <w:szCs w:val="18"/>
                <w:u w:val="single"/>
              </w:rPr>
              <w:t xml:space="preserve">              </w:t>
            </w:r>
            <w:r>
              <w:rPr>
                <w:rFonts w:hint="eastAsia" w:ascii="宋体" w:hAnsi="宋体"/>
                <w:sz w:val="18"/>
                <w:szCs w:val="18"/>
              </w:rPr>
              <w:t>）        □否</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9968" w:type="dxa"/>
            <w:gridSpan w:val="8"/>
            <w:shd w:val="pct5" w:color="auto" w:fill="auto"/>
            <w:vAlign w:val="center"/>
          </w:tcPr>
          <w:p>
            <w:pPr>
              <w:widowControl/>
              <w:spacing w:line="270" w:lineRule="atLeast"/>
              <w:rPr>
                <w:rFonts w:ascii="宋体" w:hAnsi="宋体" w:cs="Arial"/>
                <w:kern w:val="0"/>
                <w:szCs w:val="21"/>
              </w:rPr>
            </w:pPr>
            <w:r>
              <w:rPr>
                <w:rFonts w:ascii="宋体" w:hAnsi="宋体" w:cs="Arial"/>
                <w:kern w:val="0"/>
                <w:szCs w:val="21"/>
              </w:rPr>
              <w:t>你是通过何种途径了解到此课程的信息？（可多选）</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884" w:hRule="exact"/>
          <w:jc w:val="center"/>
        </w:trPr>
        <w:tc>
          <w:tcPr>
            <w:tcW w:w="9968" w:type="dxa"/>
            <w:gridSpan w:val="8"/>
            <w:tcBorders>
              <w:bottom w:val="single" w:color="595959" w:sz="6" w:space="0"/>
            </w:tcBorders>
            <w:vAlign w:val="center"/>
          </w:tcPr>
          <w:p>
            <w:pPr>
              <w:spacing w:line="300" w:lineRule="exact"/>
              <w:rPr>
                <w:rFonts w:ascii="宋体" w:hAnsi="宋体"/>
                <w:sz w:val="18"/>
                <w:szCs w:val="18"/>
              </w:rPr>
            </w:pPr>
            <w:r>
              <w:rPr>
                <w:rFonts w:hint="eastAsia" w:ascii="宋体" w:hAnsi="宋体"/>
                <w:sz w:val="18"/>
                <w:szCs w:val="18"/>
              </w:rPr>
              <w:t>□同事或者朋友推荐      □参加企业家游学活动      □收到北大课程资料        □北大校友推荐</w:t>
            </w:r>
          </w:p>
          <w:p>
            <w:pPr>
              <w:spacing w:line="300" w:lineRule="exact"/>
              <w:rPr>
                <w:rFonts w:ascii="宋体" w:hAnsi="宋体"/>
                <w:szCs w:val="21"/>
              </w:rPr>
            </w:pPr>
            <w:r>
              <w:rPr>
                <w:rFonts w:hint="eastAsia" w:ascii="宋体" w:hAnsi="宋体"/>
                <w:sz w:val="18"/>
                <w:szCs w:val="18"/>
              </w:rPr>
              <w:t>□其他（请注明）</w:t>
            </w:r>
            <w:r>
              <w:rPr>
                <w:rFonts w:hint="eastAsia" w:ascii="华文细黑" w:hAnsi="华文细黑" w:eastAsia="华文细黑"/>
                <w:sz w:val="18"/>
                <w:szCs w:val="18"/>
                <w:u w:val="single"/>
              </w:rPr>
              <w:t xml:space="preserve">                              </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9968" w:type="dxa"/>
            <w:gridSpan w:val="8"/>
            <w:shd w:val="pct5" w:color="auto" w:fill="auto"/>
            <w:vAlign w:val="center"/>
          </w:tcPr>
          <w:p>
            <w:pPr>
              <w:widowControl/>
              <w:spacing w:line="270" w:lineRule="atLeast"/>
              <w:rPr>
                <w:rFonts w:ascii="宋体" w:hAnsi="宋体" w:cs="Arial"/>
                <w:kern w:val="0"/>
                <w:szCs w:val="21"/>
              </w:rPr>
            </w:pPr>
            <w:r>
              <w:rPr>
                <w:rFonts w:hint="eastAsia" w:ascii="宋体" w:hAnsi="宋体" w:cs="Arial"/>
                <w:kern w:val="0"/>
                <w:szCs w:val="21"/>
              </w:rPr>
              <w:t>本人郑重承诺以上所填内容属实</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688" w:hRule="atLeast"/>
          <w:jc w:val="center"/>
        </w:trPr>
        <w:tc>
          <w:tcPr>
            <w:tcW w:w="4985" w:type="dxa"/>
            <w:gridSpan w:val="3"/>
            <w:vAlign w:val="center"/>
          </w:tcPr>
          <w:p>
            <w:pPr>
              <w:widowControl/>
              <w:spacing w:line="270" w:lineRule="atLeast"/>
              <w:rPr>
                <w:rFonts w:ascii="宋体" w:hAnsi="宋体" w:cs="Arial"/>
                <w:kern w:val="0"/>
                <w:szCs w:val="21"/>
              </w:rPr>
            </w:pPr>
            <w:r>
              <w:rPr>
                <w:rFonts w:hint="eastAsia" w:ascii="宋体" w:hAnsi="宋体" w:cs="Arial"/>
                <w:kern w:val="0"/>
                <w:szCs w:val="21"/>
              </w:rPr>
              <w:t xml:space="preserve">申请人签名：                                    </w:t>
            </w:r>
          </w:p>
        </w:tc>
        <w:tc>
          <w:tcPr>
            <w:tcW w:w="4983" w:type="dxa"/>
            <w:gridSpan w:val="5"/>
            <w:vAlign w:val="center"/>
          </w:tcPr>
          <w:p>
            <w:pPr>
              <w:widowControl/>
              <w:spacing w:line="270" w:lineRule="atLeast"/>
              <w:rPr>
                <w:rFonts w:ascii="宋体" w:hAnsi="宋体" w:cs="Arial"/>
                <w:kern w:val="0"/>
                <w:szCs w:val="21"/>
              </w:rPr>
            </w:pPr>
            <w:r>
              <w:rPr>
                <w:rFonts w:hint="eastAsia" w:ascii="宋体" w:hAnsi="宋体" w:cs="Arial"/>
                <w:kern w:val="0"/>
                <w:szCs w:val="21"/>
              </w:rPr>
              <w:t>申请日期：</w:t>
            </w:r>
          </w:p>
        </w:tc>
      </w:tr>
    </w:tbl>
    <w:p/>
    <w:p>
      <w:pPr>
        <w:rPr>
          <w:rFonts w:hint="default" w:eastAsia="宋体"/>
          <w:lang w:val="en-US" w:eastAsia="zh-CN"/>
        </w:rPr>
      </w:pPr>
      <w:r>
        <w:rPr>
          <w:rFonts w:hint="eastAsia"/>
          <w:lang w:val="en-US" w:eastAsia="zh-CN"/>
        </w:rPr>
        <w:t>报名电话：13488893598/ 13488823518 刘老师 韩老师 邮箱：</w:t>
      </w:r>
      <w:r>
        <w:rPr>
          <w:rFonts w:hint="eastAsia"/>
          <w:lang w:val="en-US" w:eastAsia="zh-CN"/>
        </w:rPr>
        <w:fldChar w:fldCharType="begin"/>
      </w:r>
      <w:r>
        <w:rPr>
          <w:rFonts w:hint="eastAsia"/>
          <w:lang w:val="en-US" w:eastAsia="zh-CN"/>
        </w:rPr>
        <w:instrText xml:space="preserve"> HYPERLINK "mailto:liujingli818@163.com" </w:instrText>
      </w:r>
      <w:r>
        <w:rPr>
          <w:rFonts w:hint="eastAsia"/>
          <w:lang w:val="en-US" w:eastAsia="zh-CN"/>
        </w:rPr>
        <w:fldChar w:fldCharType="separate"/>
      </w:r>
      <w:r>
        <w:rPr>
          <w:rStyle w:val="7"/>
          <w:rFonts w:hint="eastAsia"/>
          <w:lang w:val="en-US" w:eastAsia="zh-CN"/>
        </w:rPr>
        <w:t>liujingli818@163.com</w:t>
      </w:r>
      <w:r>
        <w:rPr>
          <w:rFonts w:hint="eastAsia"/>
          <w:lang w:val="en-US" w:eastAsia="zh-CN"/>
        </w:rPr>
        <w:fldChar w:fldCharType="end"/>
      </w:r>
      <w:r>
        <w:rPr>
          <w:rFonts w:hint="eastAsia"/>
          <w:lang w:val="en-US" w:eastAsia="zh-CN"/>
        </w:rPr>
        <w:t xml:space="preserve"> </w:t>
      </w:r>
      <w:bookmarkStart w:id="0" w:name="_GoBack"/>
      <w:bookmarkEnd w:id="0"/>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AE5CF"/>
    <w:multiLevelType w:val="singleLevel"/>
    <w:tmpl w:val="5A4AE5CF"/>
    <w:lvl w:ilvl="0" w:tentative="0">
      <w:start w:val="1"/>
      <w:numFmt w:val="decimal"/>
      <w:lvlText w:val="%1."/>
      <w:lvlJc w:val="left"/>
      <w:pPr>
        <w:tabs>
          <w:tab w:val="left" w:pos="312"/>
        </w:tabs>
      </w:pPr>
    </w:lvl>
  </w:abstractNum>
  <w:abstractNum w:abstractNumId="1">
    <w:nsid w:val="5A4AE5FA"/>
    <w:multiLevelType w:val="singleLevel"/>
    <w:tmpl w:val="5A4AE5FA"/>
    <w:lvl w:ilvl="0" w:tentative="0">
      <w:start w:val="1"/>
      <w:numFmt w:val="decimal"/>
      <w:lvlText w:val="%1."/>
      <w:lvlJc w:val="left"/>
      <w:pPr>
        <w:tabs>
          <w:tab w:val="left" w:pos="312"/>
        </w:tabs>
      </w:pPr>
    </w:lvl>
  </w:abstractNum>
  <w:abstractNum w:abstractNumId="2">
    <w:nsid w:val="5A4AE65F"/>
    <w:multiLevelType w:val="singleLevel"/>
    <w:tmpl w:val="5A4AE65F"/>
    <w:lvl w:ilvl="0" w:tentative="0">
      <w:start w:val="1"/>
      <w:numFmt w:val="decimal"/>
      <w:lvlText w:val="%1."/>
      <w:lvlJc w:val="left"/>
      <w:pPr>
        <w:tabs>
          <w:tab w:val="left" w:pos="312"/>
        </w:tabs>
      </w:pPr>
    </w:lvl>
  </w:abstractNum>
  <w:abstractNum w:abstractNumId="3">
    <w:nsid w:val="5A4AE691"/>
    <w:multiLevelType w:val="singleLevel"/>
    <w:tmpl w:val="5A4AE691"/>
    <w:lvl w:ilvl="0" w:tentative="0">
      <w:start w:val="1"/>
      <w:numFmt w:val="decimal"/>
      <w:lvlText w:val="%1."/>
      <w:lvlJc w:val="left"/>
      <w:pPr>
        <w:tabs>
          <w:tab w:val="left" w:pos="312"/>
        </w:tabs>
      </w:pPr>
    </w:lvl>
  </w:abstractNum>
  <w:abstractNum w:abstractNumId="4">
    <w:nsid w:val="5A4AE6D6"/>
    <w:multiLevelType w:val="singleLevel"/>
    <w:tmpl w:val="5A4AE6D6"/>
    <w:lvl w:ilvl="0" w:tentative="0">
      <w:start w:val="1"/>
      <w:numFmt w:val="decimal"/>
      <w:lvlText w:val="%1."/>
      <w:lvlJc w:val="left"/>
      <w:pPr>
        <w:tabs>
          <w:tab w:val="left" w:pos="312"/>
        </w:tabs>
      </w:pPr>
    </w:lvl>
  </w:abstractNum>
  <w:abstractNum w:abstractNumId="5">
    <w:nsid w:val="5A4AE703"/>
    <w:multiLevelType w:val="singleLevel"/>
    <w:tmpl w:val="5A4AE703"/>
    <w:lvl w:ilvl="0" w:tentative="0">
      <w:start w:val="1"/>
      <w:numFmt w:val="decimal"/>
      <w:lvlText w:val="%1."/>
      <w:lvlJc w:val="left"/>
      <w:pPr>
        <w:tabs>
          <w:tab w:val="left" w:pos="312"/>
        </w:tabs>
      </w:pPr>
    </w:lvl>
  </w:abstractNum>
  <w:abstractNum w:abstractNumId="6">
    <w:nsid w:val="5A4AE777"/>
    <w:multiLevelType w:val="singleLevel"/>
    <w:tmpl w:val="5A4AE777"/>
    <w:lvl w:ilvl="0" w:tentative="0">
      <w:start w:val="1"/>
      <w:numFmt w:val="decimal"/>
      <w:lvlText w:val="%1."/>
      <w:lvlJc w:val="left"/>
      <w:pPr>
        <w:tabs>
          <w:tab w:val="left" w:pos="312"/>
        </w:tabs>
      </w:pPr>
    </w:lvl>
  </w:abstractNum>
  <w:abstractNum w:abstractNumId="7">
    <w:nsid w:val="5A4AE7A0"/>
    <w:multiLevelType w:val="singleLevel"/>
    <w:tmpl w:val="5A4AE7A0"/>
    <w:lvl w:ilvl="0" w:tentative="0">
      <w:start w:val="1"/>
      <w:numFmt w:val="decimal"/>
      <w:lvlText w:val="%1."/>
      <w:lvlJc w:val="left"/>
      <w:pPr>
        <w:tabs>
          <w:tab w:val="left" w:pos="312"/>
        </w:tabs>
      </w:pPr>
    </w:lvl>
  </w:abstractNum>
  <w:abstractNum w:abstractNumId="8">
    <w:nsid w:val="5A4AE809"/>
    <w:multiLevelType w:val="singleLevel"/>
    <w:tmpl w:val="5A4AE809"/>
    <w:lvl w:ilvl="0" w:tentative="0">
      <w:start w:val="1"/>
      <w:numFmt w:val="decimal"/>
      <w:lvlText w:val="%1."/>
      <w:lvlJc w:val="left"/>
      <w:pPr>
        <w:tabs>
          <w:tab w:val="left" w:pos="312"/>
        </w:tabs>
      </w:pPr>
    </w:lvl>
  </w:abstractNum>
  <w:abstractNum w:abstractNumId="9">
    <w:nsid w:val="5A4AE830"/>
    <w:multiLevelType w:val="singleLevel"/>
    <w:tmpl w:val="5A4AE830"/>
    <w:lvl w:ilvl="0" w:tentative="0">
      <w:start w:val="1"/>
      <w:numFmt w:val="decimal"/>
      <w:lvlText w:val="%1."/>
      <w:lvlJc w:val="left"/>
      <w:pPr>
        <w:tabs>
          <w:tab w:val="left" w:pos="312"/>
        </w:tabs>
      </w:pPr>
    </w:lvl>
  </w:abstractNum>
  <w:abstractNum w:abstractNumId="10">
    <w:nsid w:val="5A4AE888"/>
    <w:multiLevelType w:val="singleLevel"/>
    <w:tmpl w:val="5A4AE888"/>
    <w:lvl w:ilvl="0" w:tentative="0">
      <w:start w:val="1"/>
      <w:numFmt w:val="decimal"/>
      <w:lvlText w:val="%1."/>
      <w:lvlJc w:val="left"/>
      <w:pPr>
        <w:tabs>
          <w:tab w:val="left" w:pos="312"/>
        </w:tabs>
      </w:pPr>
    </w:lvl>
  </w:abstractNum>
  <w:abstractNum w:abstractNumId="11">
    <w:nsid w:val="5A4AE8B7"/>
    <w:multiLevelType w:val="singleLevel"/>
    <w:tmpl w:val="5A4AE8B7"/>
    <w:lvl w:ilvl="0" w:tentative="0">
      <w:start w:val="1"/>
      <w:numFmt w:val="decimal"/>
      <w:lvlText w:val="%1."/>
      <w:lvlJc w:val="left"/>
      <w:pPr>
        <w:tabs>
          <w:tab w:val="left" w:pos="312"/>
        </w:tabs>
      </w:pPr>
    </w:lvl>
  </w:abstractNum>
  <w:abstractNum w:abstractNumId="12">
    <w:nsid w:val="5A4AEB3C"/>
    <w:multiLevelType w:val="singleLevel"/>
    <w:tmpl w:val="5A4AEB3C"/>
    <w:lvl w:ilvl="0" w:tentative="0">
      <w:start w:val="1"/>
      <w:numFmt w:val="decimal"/>
      <w:lvlText w:val="%1."/>
      <w:lvlJc w:val="left"/>
      <w:pPr>
        <w:tabs>
          <w:tab w:val="left" w:pos="312"/>
        </w:tabs>
      </w:pPr>
    </w:lvl>
  </w:abstractNum>
  <w:abstractNum w:abstractNumId="13">
    <w:nsid w:val="5A4D828F"/>
    <w:multiLevelType w:val="singleLevel"/>
    <w:tmpl w:val="5A4D828F"/>
    <w:lvl w:ilvl="0" w:tentative="0">
      <w:start w:val="1"/>
      <w:numFmt w:val="bullet"/>
      <w:lvlText w:val=""/>
      <w:lvlJc w:val="left"/>
      <w:pPr>
        <w:ind w:left="420" w:hanging="420"/>
      </w:pPr>
      <w:rPr>
        <w:rFonts w:hint="default" w:ascii="Wingdings" w:hAnsi="Wingdings"/>
      </w:rPr>
    </w:lvl>
  </w:abstractNum>
  <w:abstractNum w:abstractNumId="14">
    <w:nsid w:val="5A4D82F0"/>
    <w:multiLevelType w:val="singleLevel"/>
    <w:tmpl w:val="5A4D82F0"/>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21FE2"/>
    <w:rsid w:val="01A02931"/>
    <w:rsid w:val="1FBD6D41"/>
    <w:rsid w:val="25BB026A"/>
    <w:rsid w:val="49D62968"/>
    <w:rsid w:val="5EA21F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cs="Times New Roman"/>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2020-10-10T02:10:00Z</dcterms:created>
  <dc:creator>user</dc:creator>
  <cp:lastModifiedBy>刘煜坤老师</cp:lastModifiedBy>
  <dcterms:modified xsi:type="dcterms:W3CDTF">2021-11-30T10:37:40Z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2815AE9F0B514E4FAD6265F9B37424CC</vt:lpwstr>
  </property>
</Properties>
</file>